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255"/>
        <w:gridCol w:w="4230"/>
        <w:gridCol w:w="180"/>
        <w:gridCol w:w="4500"/>
        <w:tblGridChange w:id="0">
          <w:tblGrid>
            <w:gridCol w:w="750"/>
            <w:gridCol w:w="255"/>
            <w:gridCol w:w="4230"/>
            <w:gridCol w:w="180"/>
            <w:gridCol w:w="4500"/>
          </w:tblGrid>
        </w:tblGridChange>
      </w:tblGrid>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tab/>
              <w:tab/>
              <w:tab/>
              <w:tab/>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 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 FROM: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30, 2018</w:t>
            </w:r>
          </w:p>
        </w:tc>
      </w:tr>
      <w:tr>
        <w:trPr>
          <w:trHeight w:val="18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REPORT</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 Re-org forums                                                                          </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Other                                                                                                           10 minutes                                                                                              </w:t>
            </w:r>
          </w:p>
        </w:tc>
      </w:tr>
      <w:tr>
        <w:trPr>
          <w:trHeight w:val="1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Part-Time Faculty Senate Committee (Faculty Handbook)                         15 minutes</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Education (Accessibility Policy)                                                  20 minutes</w:t>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INFORMATIONAL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First Year Experience (Brown and Banville)                                   25 minutes</w:t>
            </w:r>
          </w:p>
        </w:tc>
      </w:tr>
    </w:tbl>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90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Academic Senate may move information items to action upon a 2/3 vote.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{Section 5. Quorum“A simple majority of Senators including Senator designees recognized by the Chair at the openings of meetings shall constitute a quorum. Senator positions not filled by departments will not be </w:t>
    </w:r>
    <w:r w:rsidDel="00000000" w:rsidR="00000000" w:rsidRPr="00000000">
      <w:rPr>
        <w:rFonts w:ascii="Times New Roman" w:cs="Times New Roman" w:eastAsia="Times New Roman" w:hAnsi="Times New Roman"/>
        <w:sz w:val="16"/>
        <w:szCs w:val="16"/>
        <w:rtl w:val="0"/>
      </w:rPr>
      <w:t xml:space="preserve">included</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quorum determination.” Average number of senators attending the first three Senate meetings, Fall, 2011: 54}</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01.22.18Jkv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2371090</wp:posOffset>
          </wp:positionH>
          <wp:positionV relativeFrom="paragraph">
            <wp:posOffset>-9524</wp:posOffset>
          </wp:positionV>
          <wp:extent cx="1029084" cy="6858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29084" cy="685800"/>
                  </a:xfrm>
                  <a:prstGeom prst="rect"/>
                  <a:ln/>
                </pic:spPr>
              </pic:pic>
            </a:graphicData>
          </a:graphic>
        </wp:anchor>
      </w:drawing>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Grossmont College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Senate Meeting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w:t>
    </w:r>
    <w:r w:rsidDel="00000000" w:rsidR="00000000" w:rsidRPr="00000000">
      <w:rPr>
        <w:rFonts w:ascii="Times New Roman" w:cs="Times New Roman" w:eastAsia="Times New Roman" w:hAnsi="Times New Roman"/>
        <w:rtl w:val="0"/>
      </w:rPr>
      <w:t xml:space="preserve">ay 07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