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C4507F"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C4507F" w:rsidRDefault="00CE74AD" w:rsidP="000B0C0B">
      <w:pPr>
        <w:pStyle w:val="ListParagraph"/>
        <w:numPr>
          <w:ilvl w:val="0"/>
          <w:numId w:val="2"/>
        </w:numPr>
        <w:spacing w:after="0"/>
        <w:ind w:left="360"/>
      </w:pPr>
      <w:r>
        <w:t xml:space="preserve"> </w:t>
      </w:r>
      <w:r w:rsidR="00C4507F">
        <w:t>Answer the following questions about the graph</w:t>
      </w:r>
      <w:r w:rsidR="006B7F5C">
        <w:t xml:space="preserve"> (10 points)</w:t>
      </w:r>
      <w:r w:rsidR="00C4507F">
        <w:t>:</w:t>
      </w:r>
    </w:p>
    <w:p w:rsidR="00C4507F" w:rsidRDefault="00C4507F" w:rsidP="00C4507F">
      <w:pPr>
        <w:pStyle w:val="ListParagraph"/>
        <w:spacing w:after="0"/>
        <w:ind w:left="360"/>
      </w:pPr>
      <w:r>
        <w:rPr>
          <w:noProof/>
        </w:rPr>
        <w:drawing>
          <wp:inline distT="0" distB="0" distL="0" distR="0" wp14:anchorId="59093048" wp14:editId="508E25E7">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07F" w:rsidRDefault="00C4507F" w:rsidP="00C4507F">
      <w:pPr>
        <w:pStyle w:val="ListParagraph"/>
        <w:numPr>
          <w:ilvl w:val="1"/>
          <w:numId w:val="2"/>
        </w:numPr>
        <w:spacing w:after="0"/>
        <w:ind w:left="720"/>
      </w:pPr>
      <w:r>
        <w:t xml:space="preserve">What is the dependent variable? </w:t>
      </w:r>
      <w:r>
        <w:tab/>
      </w:r>
      <w:r>
        <w:tab/>
      </w:r>
      <w:r>
        <w:tab/>
      </w:r>
      <w:r>
        <w:tab/>
        <w:t>_______density________</w:t>
      </w:r>
    </w:p>
    <w:p w:rsidR="00C4507F" w:rsidRDefault="00C4507F" w:rsidP="00C4507F">
      <w:pPr>
        <w:pStyle w:val="ListParagraph"/>
        <w:numPr>
          <w:ilvl w:val="1"/>
          <w:numId w:val="2"/>
        </w:numPr>
        <w:spacing w:after="0"/>
        <w:ind w:left="720"/>
      </w:pPr>
      <w:r>
        <w:t>The x-axis is also known as the _____abscissa</w:t>
      </w:r>
    </w:p>
    <w:p w:rsidR="00C4507F" w:rsidRDefault="00C4507F" w:rsidP="00C4507F">
      <w:pPr>
        <w:pStyle w:val="ListParagraph"/>
        <w:numPr>
          <w:ilvl w:val="1"/>
          <w:numId w:val="2"/>
        </w:numPr>
        <w:spacing w:after="0"/>
        <w:ind w:left="720"/>
      </w:pPr>
      <w:r>
        <w:t xml:space="preserve">What is the slope of the line? </w:t>
      </w:r>
    </w:p>
    <w:p w:rsidR="00C4507F" w:rsidRPr="00C4507F" w:rsidRDefault="00C4507F" w:rsidP="00C4507F">
      <w:pPr>
        <w:pStyle w:val="ListParagraph"/>
        <w:spacing w:after="0"/>
        <w:rPr>
          <w:rFonts w:eastAsiaTheme="minorEastAsia"/>
        </w:rPr>
      </w:pPr>
      <m:oMathPara>
        <m:oMath>
          <m:r>
            <w:rPr>
              <w:rFonts w:ascii="Cambria Math" w:hAnsi="Cambria Math"/>
            </w:rPr>
            <m:t>m=</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13.524</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-13.602</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300 K-270 K</m:t>
              </m:r>
            </m:den>
          </m:f>
        </m:oMath>
      </m:oMathPara>
    </w:p>
    <w:p w:rsidR="00C4507F" w:rsidRPr="00C4507F" w:rsidRDefault="00C4507F" w:rsidP="00C4507F">
      <w:pPr>
        <w:pStyle w:val="ListParagraph"/>
        <w:spacing w:after="0"/>
        <w:rPr>
          <w:rFonts w:eastAsiaTheme="minorEastAsia"/>
        </w:rPr>
      </w:pPr>
      <m:oMathPara>
        <m:oMath>
          <m:r>
            <w:rPr>
              <w:rFonts w:ascii="Cambria Math" w:hAnsi="Cambria Math"/>
            </w:rPr>
            <m:t>m=</m:t>
          </m:r>
          <m:f>
            <m:fPr>
              <m:ctrlPr>
                <w:rPr>
                  <w:rFonts w:ascii="Cambria Math" w:eastAsiaTheme="minorEastAsia" w:hAnsi="Cambria Math"/>
                  <w:i/>
                </w:rPr>
              </m:ctrlPr>
            </m:fPr>
            <m:num>
              <m:r>
                <w:rPr>
                  <w:rFonts w:ascii="Cambria Math" w:eastAsiaTheme="minorEastAsia" w:hAnsi="Cambria Math"/>
                </w:rPr>
                <m:t>-0.078</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mL</m:t>
                  </m:r>
                </m:den>
              </m:f>
            </m:num>
            <m:den>
              <m:r>
                <w:rPr>
                  <w:rFonts w:ascii="Cambria Math" w:eastAsiaTheme="minorEastAsia" w:hAnsi="Cambria Math"/>
                </w:rPr>
                <m:t>30. K</m:t>
              </m:r>
            </m:den>
          </m:f>
          <m:r>
            <w:rPr>
              <w:rFonts w:ascii="Cambria Math" w:eastAsiaTheme="minorEastAsia" w:hAnsi="Cambria Math"/>
            </w:rPr>
            <m:t>=-0.0026</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 xml:space="preserve">mL K </m:t>
              </m:r>
            </m:den>
          </m:f>
          <m:r>
            <w:rPr>
              <w:rFonts w:ascii="Cambria Math" w:eastAsiaTheme="minorEastAsia" w:hAnsi="Cambria Math"/>
            </w:rPr>
            <m:t>=-2.6×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mL K</m:t>
              </m:r>
            </m:den>
          </m:f>
        </m:oMath>
      </m:oMathPara>
    </w:p>
    <w:p w:rsidR="00C4507F" w:rsidRDefault="00C4507F" w:rsidP="00C4507F">
      <w:pPr>
        <w:pStyle w:val="ListParagraph"/>
        <w:spacing w:after="0"/>
        <w:rPr>
          <w:rFonts w:eastAsiaTheme="minorEastAsia"/>
        </w:rPr>
      </w:pPr>
      <m:oMathPara>
        <m:oMath>
          <m:r>
            <w:rPr>
              <w:rFonts w:ascii="Cambria Math" w:hAnsi="Cambria Math"/>
            </w:rPr>
            <m:t>m=</m:t>
          </m:r>
          <m:r>
            <w:rPr>
              <w:rFonts w:ascii="Cambria Math" w:eastAsiaTheme="minorEastAsia" w:hAnsi="Cambria Math"/>
            </w:rPr>
            <m:t>-0.0026</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 xml:space="preserve">mL K </m:t>
              </m:r>
            </m:den>
          </m:f>
          <m:r>
            <w:rPr>
              <w:rFonts w:ascii="Cambria Math" w:eastAsiaTheme="minorEastAsia" w:hAnsi="Cambria Math"/>
            </w:rPr>
            <m:t>=-2.6×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mL K</m:t>
              </m:r>
            </m:den>
          </m:f>
        </m:oMath>
      </m:oMathPara>
    </w:p>
    <w:p w:rsidR="00C4507F" w:rsidRDefault="00C4507F" w:rsidP="00C4507F">
      <w:pPr>
        <w:pStyle w:val="ListParagraph"/>
        <w:spacing w:after="0"/>
        <w:rPr>
          <w:rFonts w:eastAsiaTheme="minorEastAsia"/>
        </w:rPr>
      </w:pPr>
    </w:p>
    <w:p w:rsidR="00C4507F" w:rsidRDefault="00C4507F" w:rsidP="00C4507F">
      <w:pPr>
        <w:pStyle w:val="ListParagraph"/>
        <w:numPr>
          <w:ilvl w:val="1"/>
          <w:numId w:val="2"/>
        </w:numPr>
        <w:spacing w:after="0"/>
        <w:ind w:left="720"/>
      </w:pPr>
      <w:r>
        <w:t xml:space="preserve">Can you read the y-intercept directly from the graph? </w:t>
      </w:r>
      <w:r>
        <w:tab/>
      </w:r>
      <w:r>
        <w:tab/>
        <w:t>____no</w:t>
      </w:r>
    </w:p>
    <w:p w:rsidR="00C4507F" w:rsidRDefault="00C4507F" w:rsidP="00C4507F">
      <w:pPr>
        <w:pStyle w:val="ListParagraph"/>
        <w:numPr>
          <w:ilvl w:val="1"/>
          <w:numId w:val="2"/>
        </w:numPr>
        <w:spacing w:after="0"/>
        <w:ind w:left="720"/>
      </w:pPr>
      <w:r>
        <w:t xml:space="preserve">What is the value of the y-intercept? </w:t>
      </w:r>
    </w:p>
    <w:p w:rsidR="00C4507F" w:rsidRPr="00C4507F" w:rsidRDefault="00C4507F" w:rsidP="00C4507F">
      <w:pPr>
        <w:spacing w:after="0"/>
        <w:rPr>
          <w:rFonts w:eastAsiaTheme="minorEastAsia"/>
        </w:rPr>
      </w:pPr>
      <m:oMathPara>
        <m:oMath>
          <m:r>
            <w:rPr>
              <w:rFonts w:ascii="Cambria Math" w:hAnsi="Cambria Math"/>
            </w:rPr>
            <m:t>b=y-mx</m:t>
          </m:r>
        </m:oMath>
      </m:oMathPara>
    </w:p>
    <w:p w:rsidR="00C4507F" w:rsidRPr="00C4507F" w:rsidRDefault="00C4507F" w:rsidP="00C4507F">
      <w:pPr>
        <w:spacing w:after="0"/>
        <w:rPr>
          <w:rFonts w:eastAsiaTheme="minorEastAsia"/>
        </w:rPr>
      </w:pPr>
      <m:oMathPara>
        <m:oMath>
          <m:r>
            <w:rPr>
              <w:rFonts w:ascii="Cambria Math" w:hAnsi="Cambria Math"/>
            </w:rPr>
            <m:t>b=13.580</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-(280 K)(</m:t>
          </m:r>
          <m:r>
            <w:rPr>
              <w:rFonts w:ascii="Cambria Math" w:eastAsiaTheme="minorEastAsia" w:hAnsi="Cambria Math"/>
            </w:rPr>
            <m:t>-2.6×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mL K</m:t>
              </m:r>
            </m:den>
          </m:f>
          <m:r>
            <w:rPr>
              <w:rFonts w:ascii="Cambria Math" w:eastAsiaTheme="minorEastAsia" w:hAnsi="Cambria Math"/>
            </w:rPr>
            <m:t>)</m:t>
          </m:r>
        </m:oMath>
      </m:oMathPara>
    </w:p>
    <w:p w:rsidR="00C4507F" w:rsidRPr="00717CEF" w:rsidRDefault="00C4507F" w:rsidP="00C4507F">
      <w:pPr>
        <w:spacing w:after="0"/>
        <w:rPr>
          <w:rFonts w:eastAsiaTheme="minorEastAsia"/>
        </w:rPr>
      </w:pPr>
      <m:oMathPara>
        <m:oMath>
          <m:r>
            <w:rPr>
              <w:rFonts w:ascii="Cambria Math" w:hAnsi="Cambria Math"/>
            </w:rPr>
            <m:t>b=13.580</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r>
            <w:rPr>
              <w:rFonts w:ascii="Cambria Math" w:hAnsi="Cambria Math"/>
            </w:rPr>
            <m:t>0.728</m:t>
          </m:r>
          <m:f>
            <m:fPr>
              <m:ctrlPr>
                <w:rPr>
                  <w:rFonts w:ascii="Cambria Math" w:hAnsi="Cambria Math"/>
                  <w:i/>
                </w:rPr>
              </m:ctrlPr>
            </m:fPr>
            <m:num>
              <m:r>
                <w:rPr>
                  <w:rFonts w:ascii="Cambria Math" w:hAnsi="Cambria Math"/>
                </w:rPr>
                <m:t>g</m:t>
              </m:r>
            </m:num>
            <m:den>
              <m:r>
                <w:rPr>
                  <w:rFonts w:ascii="Cambria Math" w:hAnsi="Cambria Math"/>
                </w:rPr>
                <m:t>mL</m:t>
              </m:r>
            </m:den>
          </m:f>
        </m:oMath>
      </m:oMathPara>
    </w:p>
    <w:p w:rsidR="00717CEF" w:rsidRPr="00717CEF" w:rsidRDefault="00717CEF" w:rsidP="00C4507F">
      <w:pPr>
        <w:spacing w:after="0"/>
        <w:rPr>
          <w:rFonts w:eastAsiaTheme="minorEastAsia"/>
        </w:rPr>
      </w:pPr>
      <m:oMathPara>
        <m:oMath>
          <m:r>
            <w:rPr>
              <w:rFonts w:ascii="Cambria Math" w:eastAsiaTheme="minorEastAsia" w:hAnsi="Cambria Math"/>
            </w:rPr>
            <m:t>b=14.308</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mL</m:t>
              </m:r>
            </m:den>
          </m:f>
        </m:oMath>
      </m:oMathPara>
    </w:p>
    <w:p w:rsidR="00C4507F" w:rsidRPr="00C4507F" w:rsidRDefault="00C4507F" w:rsidP="00C4507F">
      <w:pPr>
        <w:spacing w:after="0"/>
        <w:rPr>
          <w:rFonts w:eastAsiaTheme="minorEastAsia"/>
        </w:rPr>
      </w:pPr>
    </w:p>
    <w:p w:rsidR="007D72C9" w:rsidRDefault="007D72C9" w:rsidP="000B0C0B">
      <w:pPr>
        <w:pStyle w:val="ListParagraph"/>
        <w:numPr>
          <w:ilvl w:val="0"/>
          <w:numId w:val="2"/>
        </w:numPr>
        <w:spacing w:after="0"/>
        <w:ind w:left="360"/>
      </w:pPr>
      <w:r>
        <w:t xml:space="preserve">Define wavelength (3 points). </w:t>
      </w:r>
    </w:p>
    <w:p w:rsidR="007D72C9" w:rsidRDefault="007D72C9" w:rsidP="007D72C9">
      <w:pPr>
        <w:pStyle w:val="ListParagraph"/>
        <w:spacing w:after="0"/>
        <w:ind w:left="360"/>
      </w:pPr>
      <w:r>
        <w:t xml:space="preserve">Wavelength is the distance between identical parts of a wave. </w:t>
      </w:r>
    </w:p>
    <w:p w:rsidR="007D72C9" w:rsidRDefault="007D72C9" w:rsidP="007D72C9">
      <w:pPr>
        <w:pStyle w:val="ListParagraph"/>
        <w:spacing w:after="0"/>
        <w:ind w:left="360"/>
      </w:pPr>
    </w:p>
    <w:p w:rsidR="007D72C9" w:rsidRDefault="007D72C9" w:rsidP="007D72C9">
      <w:pPr>
        <w:pStyle w:val="ListParagraph"/>
        <w:numPr>
          <w:ilvl w:val="0"/>
          <w:numId w:val="2"/>
        </w:numPr>
        <w:ind w:left="360"/>
      </w:pPr>
      <w:r>
        <w:t>Are the follo</w:t>
      </w:r>
      <w:r>
        <w:t>wing statements true or false (7</w:t>
      </w:r>
      <w:bookmarkStart w:id="0" w:name="_GoBack"/>
      <w:bookmarkEnd w:id="0"/>
      <w:r>
        <w:t xml:space="preserve"> points)? </w:t>
      </w:r>
    </w:p>
    <w:tbl>
      <w:tblPr>
        <w:tblStyle w:val="TableGrid"/>
        <w:tblW w:w="0" w:type="auto"/>
        <w:tblInd w:w="360" w:type="dxa"/>
        <w:tblLook w:val="04A0" w:firstRow="1" w:lastRow="0" w:firstColumn="1" w:lastColumn="0" w:noHBand="0" w:noVBand="1"/>
      </w:tblPr>
      <w:tblGrid>
        <w:gridCol w:w="558"/>
        <w:gridCol w:w="7380"/>
        <w:gridCol w:w="1278"/>
      </w:tblGrid>
      <w:tr w:rsidR="007D72C9" w:rsidTr="00035E44">
        <w:tc>
          <w:tcPr>
            <w:tcW w:w="558" w:type="dxa"/>
          </w:tcPr>
          <w:p w:rsidR="007D72C9" w:rsidRDefault="007D72C9" w:rsidP="00035E44">
            <w:pPr>
              <w:pStyle w:val="ListParagraph"/>
              <w:numPr>
                <w:ilvl w:val="0"/>
                <w:numId w:val="3"/>
              </w:numPr>
              <w:ind w:left="360"/>
            </w:pPr>
          </w:p>
        </w:tc>
        <w:tc>
          <w:tcPr>
            <w:tcW w:w="7380" w:type="dxa"/>
          </w:tcPr>
          <w:p w:rsidR="007D72C9" w:rsidRDefault="007D72C9" w:rsidP="00035E44">
            <w:pPr>
              <w:pStyle w:val="ListParagraph"/>
              <w:ind w:left="0"/>
            </w:pPr>
            <w:r>
              <w:t xml:space="preserve">Use the same balance throughout an experiment to minimize any systematic errors in the weighing process.  </w:t>
            </w:r>
          </w:p>
        </w:tc>
        <w:tc>
          <w:tcPr>
            <w:tcW w:w="1278" w:type="dxa"/>
          </w:tcPr>
          <w:p w:rsidR="007D72C9" w:rsidRDefault="007D72C9" w:rsidP="00035E44">
            <w:pPr>
              <w:pStyle w:val="ListParagraph"/>
              <w:ind w:left="0"/>
            </w:pPr>
            <w:r>
              <w:t>True</w:t>
            </w:r>
          </w:p>
        </w:tc>
      </w:tr>
      <w:tr w:rsidR="007D72C9" w:rsidTr="00035E44">
        <w:tc>
          <w:tcPr>
            <w:tcW w:w="558" w:type="dxa"/>
          </w:tcPr>
          <w:p w:rsidR="007D72C9" w:rsidRDefault="007D72C9" w:rsidP="00035E44">
            <w:pPr>
              <w:pStyle w:val="ListParagraph"/>
              <w:numPr>
                <w:ilvl w:val="0"/>
                <w:numId w:val="3"/>
              </w:numPr>
              <w:ind w:left="360"/>
            </w:pPr>
          </w:p>
        </w:tc>
        <w:tc>
          <w:tcPr>
            <w:tcW w:w="7380" w:type="dxa"/>
          </w:tcPr>
          <w:p w:rsidR="007D72C9" w:rsidRDefault="007D72C9" w:rsidP="00035E44">
            <w:pPr>
              <w:pStyle w:val="ListParagraph"/>
              <w:ind w:left="0"/>
            </w:pPr>
            <w:r>
              <w:t xml:space="preserve">It is okay to write your measurements down on scratch paper and then transfer them to your data sheet so that it looks nice. </w:t>
            </w:r>
          </w:p>
        </w:tc>
        <w:tc>
          <w:tcPr>
            <w:tcW w:w="1278" w:type="dxa"/>
          </w:tcPr>
          <w:p w:rsidR="007D72C9" w:rsidRDefault="007D72C9" w:rsidP="00035E44">
            <w:pPr>
              <w:pStyle w:val="ListParagraph"/>
              <w:ind w:left="0"/>
            </w:pPr>
            <w:r>
              <w:t>False</w:t>
            </w:r>
          </w:p>
        </w:tc>
      </w:tr>
      <w:tr w:rsidR="007D72C9" w:rsidTr="00035E44">
        <w:tc>
          <w:tcPr>
            <w:tcW w:w="558" w:type="dxa"/>
          </w:tcPr>
          <w:p w:rsidR="007D72C9" w:rsidRDefault="007D72C9" w:rsidP="00035E44">
            <w:pPr>
              <w:pStyle w:val="ListParagraph"/>
              <w:numPr>
                <w:ilvl w:val="0"/>
                <w:numId w:val="3"/>
              </w:numPr>
              <w:ind w:left="360"/>
            </w:pPr>
          </w:p>
        </w:tc>
        <w:tc>
          <w:tcPr>
            <w:tcW w:w="7380" w:type="dxa"/>
          </w:tcPr>
          <w:p w:rsidR="007D72C9" w:rsidRDefault="007D72C9" w:rsidP="007D72C9">
            <w:pPr>
              <w:pStyle w:val="ListParagraph"/>
              <w:ind w:left="0"/>
            </w:pPr>
            <w:r>
              <w:t xml:space="preserve">If your hair or clothing should catch on fire one option is to </w:t>
            </w:r>
            <w:r>
              <w:t xml:space="preserve">use the safety shower. </w:t>
            </w:r>
            <w:r>
              <w:t xml:space="preserve">.  </w:t>
            </w:r>
          </w:p>
        </w:tc>
        <w:tc>
          <w:tcPr>
            <w:tcW w:w="1278" w:type="dxa"/>
          </w:tcPr>
          <w:p w:rsidR="007D72C9" w:rsidRDefault="007D72C9" w:rsidP="00035E44">
            <w:pPr>
              <w:pStyle w:val="ListParagraph"/>
              <w:ind w:left="0"/>
            </w:pPr>
            <w:r>
              <w:t>True</w:t>
            </w:r>
          </w:p>
          <w:p w:rsidR="007D72C9" w:rsidRDefault="007D72C9" w:rsidP="00035E44">
            <w:pPr>
              <w:pStyle w:val="ListParagraph"/>
              <w:ind w:left="0"/>
            </w:pPr>
          </w:p>
        </w:tc>
      </w:tr>
      <w:tr w:rsidR="007D72C9" w:rsidTr="00035E44">
        <w:tc>
          <w:tcPr>
            <w:tcW w:w="558" w:type="dxa"/>
          </w:tcPr>
          <w:p w:rsidR="007D72C9" w:rsidRDefault="007D72C9" w:rsidP="00035E44">
            <w:pPr>
              <w:pStyle w:val="ListParagraph"/>
              <w:numPr>
                <w:ilvl w:val="0"/>
                <w:numId w:val="3"/>
              </w:numPr>
              <w:ind w:left="360"/>
            </w:pPr>
          </w:p>
        </w:tc>
        <w:tc>
          <w:tcPr>
            <w:tcW w:w="7380" w:type="dxa"/>
          </w:tcPr>
          <w:p w:rsidR="007D72C9" w:rsidRDefault="007D72C9" w:rsidP="00035E44">
            <w:pPr>
              <w:pStyle w:val="ListParagraph"/>
              <w:ind w:left="0"/>
            </w:pPr>
            <w:r>
              <w:t xml:space="preserve">Sweep up breakage immediately and place it in the </w:t>
            </w:r>
            <w:r>
              <w:t xml:space="preserve">trash can. </w:t>
            </w:r>
            <w:r>
              <w:t xml:space="preserve"> </w:t>
            </w:r>
          </w:p>
          <w:p w:rsidR="007D72C9" w:rsidRDefault="007D72C9" w:rsidP="00035E44">
            <w:pPr>
              <w:pStyle w:val="ListParagraph"/>
              <w:ind w:left="0"/>
            </w:pPr>
          </w:p>
        </w:tc>
        <w:tc>
          <w:tcPr>
            <w:tcW w:w="1278" w:type="dxa"/>
          </w:tcPr>
          <w:p w:rsidR="007D72C9" w:rsidRDefault="007D72C9" w:rsidP="00035E44">
            <w:pPr>
              <w:pStyle w:val="ListParagraph"/>
              <w:ind w:left="0"/>
            </w:pPr>
            <w:r>
              <w:t xml:space="preserve">False </w:t>
            </w:r>
            <w:r>
              <w:t xml:space="preserve"> </w:t>
            </w:r>
          </w:p>
        </w:tc>
      </w:tr>
      <w:tr w:rsidR="007D72C9" w:rsidTr="00035E44">
        <w:tc>
          <w:tcPr>
            <w:tcW w:w="558" w:type="dxa"/>
          </w:tcPr>
          <w:p w:rsidR="007D72C9" w:rsidRDefault="007D72C9" w:rsidP="00035E44">
            <w:pPr>
              <w:pStyle w:val="ListParagraph"/>
              <w:numPr>
                <w:ilvl w:val="0"/>
                <w:numId w:val="3"/>
              </w:numPr>
              <w:ind w:left="360"/>
            </w:pPr>
          </w:p>
        </w:tc>
        <w:tc>
          <w:tcPr>
            <w:tcW w:w="7380" w:type="dxa"/>
          </w:tcPr>
          <w:p w:rsidR="007D72C9" w:rsidRDefault="007D72C9" w:rsidP="00035E44">
            <w:pPr>
              <w:pStyle w:val="ListParagraph"/>
              <w:ind w:left="0"/>
            </w:pPr>
            <w:r>
              <w:t xml:space="preserve">If a chemical spills on your hand, you should immediately go to the sink, rinse your hand for at least 15 minutes, and inform your instructor. </w:t>
            </w:r>
          </w:p>
        </w:tc>
        <w:tc>
          <w:tcPr>
            <w:tcW w:w="1278" w:type="dxa"/>
          </w:tcPr>
          <w:p w:rsidR="007D72C9" w:rsidRDefault="007D72C9" w:rsidP="00035E44">
            <w:pPr>
              <w:pStyle w:val="ListParagraph"/>
              <w:ind w:left="0"/>
            </w:pPr>
            <w:r>
              <w:t xml:space="preserve">True </w:t>
            </w:r>
          </w:p>
        </w:tc>
      </w:tr>
      <w:tr w:rsidR="007D72C9" w:rsidTr="00035E44">
        <w:tc>
          <w:tcPr>
            <w:tcW w:w="558" w:type="dxa"/>
          </w:tcPr>
          <w:p w:rsidR="007D72C9" w:rsidRDefault="007D72C9" w:rsidP="00035E44">
            <w:pPr>
              <w:pStyle w:val="ListParagraph"/>
              <w:numPr>
                <w:ilvl w:val="0"/>
                <w:numId w:val="3"/>
              </w:numPr>
              <w:ind w:left="360"/>
            </w:pPr>
          </w:p>
        </w:tc>
        <w:tc>
          <w:tcPr>
            <w:tcW w:w="7380" w:type="dxa"/>
          </w:tcPr>
          <w:p w:rsidR="007D72C9" w:rsidRDefault="007D72C9" w:rsidP="00035E44">
            <w:pPr>
              <w:pStyle w:val="ListParagraph"/>
              <w:ind w:left="0"/>
            </w:pPr>
            <w:r>
              <w:t xml:space="preserve">You only need to wear your safety glasses or goggles when you are working with chemicals or flames. </w:t>
            </w:r>
          </w:p>
        </w:tc>
        <w:tc>
          <w:tcPr>
            <w:tcW w:w="1278" w:type="dxa"/>
          </w:tcPr>
          <w:p w:rsidR="007D72C9" w:rsidRDefault="007D72C9" w:rsidP="00035E44">
            <w:pPr>
              <w:pStyle w:val="ListParagraph"/>
              <w:ind w:left="0"/>
            </w:pPr>
            <w:r>
              <w:t xml:space="preserve">False </w:t>
            </w:r>
          </w:p>
        </w:tc>
      </w:tr>
      <w:tr w:rsidR="007D72C9" w:rsidTr="00035E44">
        <w:tc>
          <w:tcPr>
            <w:tcW w:w="558" w:type="dxa"/>
          </w:tcPr>
          <w:p w:rsidR="007D72C9" w:rsidRDefault="007D72C9" w:rsidP="00035E44">
            <w:pPr>
              <w:pStyle w:val="ListParagraph"/>
              <w:numPr>
                <w:ilvl w:val="0"/>
                <w:numId w:val="3"/>
              </w:numPr>
              <w:ind w:left="360"/>
            </w:pPr>
          </w:p>
        </w:tc>
        <w:tc>
          <w:tcPr>
            <w:tcW w:w="7380" w:type="dxa"/>
          </w:tcPr>
          <w:p w:rsidR="007D72C9" w:rsidRDefault="007D72C9" w:rsidP="00035E44">
            <w:pPr>
              <w:pStyle w:val="ListParagraph"/>
              <w:ind w:left="0"/>
            </w:pPr>
            <w:r>
              <w:t xml:space="preserve">One goal of the Physical Properties experiment is to separate sand and iron fillings. </w:t>
            </w:r>
          </w:p>
        </w:tc>
        <w:tc>
          <w:tcPr>
            <w:tcW w:w="1278" w:type="dxa"/>
          </w:tcPr>
          <w:p w:rsidR="007D72C9" w:rsidRDefault="007D72C9" w:rsidP="00035E44">
            <w:pPr>
              <w:pStyle w:val="ListParagraph"/>
              <w:ind w:left="0"/>
            </w:pPr>
            <w:r>
              <w:t>False</w:t>
            </w:r>
          </w:p>
        </w:tc>
      </w:tr>
    </w:tbl>
    <w:p w:rsidR="007D72C9" w:rsidRDefault="007D72C9" w:rsidP="007D72C9">
      <w:pPr>
        <w:spacing w:after="0" w:line="240" w:lineRule="auto"/>
      </w:pPr>
    </w:p>
    <w:p w:rsidR="00E0731D" w:rsidRDefault="00E0731D" w:rsidP="00E0731D">
      <w:pPr>
        <w:pStyle w:val="ListParagraph"/>
        <w:spacing w:after="0" w:line="240" w:lineRule="auto"/>
        <w:ind w:left="360"/>
      </w:pPr>
    </w:p>
    <w:sectPr w:rsidR="00E0731D" w:rsidSect="004366AB">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9A" w:rsidRDefault="003D129A" w:rsidP="00B030FA">
      <w:pPr>
        <w:spacing w:after="0" w:line="240" w:lineRule="auto"/>
      </w:pPr>
      <w:r>
        <w:separator/>
      </w:r>
    </w:p>
  </w:endnote>
  <w:endnote w:type="continuationSeparator" w:id="0">
    <w:p w:rsidR="003D129A" w:rsidRDefault="003D129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9A" w:rsidRDefault="003D129A" w:rsidP="00B030FA">
      <w:pPr>
        <w:spacing w:after="0" w:line="240" w:lineRule="auto"/>
      </w:pPr>
      <w:r>
        <w:separator/>
      </w:r>
    </w:p>
  </w:footnote>
  <w:footnote w:type="continuationSeparator" w:id="0">
    <w:p w:rsidR="003D129A" w:rsidRDefault="003D129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3F0A70">
          <w:rPr>
            <w:rFonts w:cs="Times New Roman"/>
            <w:b/>
            <w:bCs/>
            <w:szCs w:val="24"/>
          </w:rPr>
          <w:t>ollege Chemistry 120 Fall</w:t>
        </w:r>
        <w:r w:rsidR="00B93CB6">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F4EB2"/>
    <w:multiLevelType w:val="hybridMultilevel"/>
    <w:tmpl w:val="802EC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60CCF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4"/>
  </w:num>
  <w:num w:numId="12">
    <w:abstractNumId w:val="2"/>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0C0B"/>
    <w:rsid w:val="000D4C00"/>
    <w:rsid w:val="000D67AD"/>
    <w:rsid w:val="00115F51"/>
    <w:rsid w:val="001454D9"/>
    <w:rsid w:val="001461BD"/>
    <w:rsid w:val="001472F9"/>
    <w:rsid w:val="001516FC"/>
    <w:rsid w:val="00157B99"/>
    <w:rsid w:val="00161020"/>
    <w:rsid w:val="00187315"/>
    <w:rsid w:val="001A35B3"/>
    <w:rsid w:val="001D155E"/>
    <w:rsid w:val="00211981"/>
    <w:rsid w:val="002171C1"/>
    <w:rsid w:val="0022111D"/>
    <w:rsid w:val="00227045"/>
    <w:rsid w:val="00234B4A"/>
    <w:rsid w:val="00263FFF"/>
    <w:rsid w:val="002861AD"/>
    <w:rsid w:val="00292A41"/>
    <w:rsid w:val="002A06AE"/>
    <w:rsid w:val="002C4B66"/>
    <w:rsid w:val="002C5991"/>
    <w:rsid w:val="002E7C87"/>
    <w:rsid w:val="002F02A9"/>
    <w:rsid w:val="002F274F"/>
    <w:rsid w:val="0035548D"/>
    <w:rsid w:val="003B6C78"/>
    <w:rsid w:val="003D129A"/>
    <w:rsid w:val="003F0A70"/>
    <w:rsid w:val="003F0EE3"/>
    <w:rsid w:val="00410074"/>
    <w:rsid w:val="00422EDC"/>
    <w:rsid w:val="004366AB"/>
    <w:rsid w:val="0045365C"/>
    <w:rsid w:val="00473B5A"/>
    <w:rsid w:val="00477B74"/>
    <w:rsid w:val="004A76B9"/>
    <w:rsid w:val="004C4683"/>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B7F5C"/>
    <w:rsid w:val="006D3906"/>
    <w:rsid w:val="006E7549"/>
    <w:rsid w:val="006F75D5"/>
    <w:rsid w:val="00715883"/>
    <w:rsid w:val="00717CEF"/>
    <w:rsid w:val="007212E6"/>
    <w:rsid w:val="00743C35"/>
    <w:rsid w:val="00776F00"/>
    <w:rsid w:val="007A15E4"/>
    <w:rsid w:val="007A7FEF"/>
    <w:rsid w:val="007C0141"/>
    <w:rsid w:val="007D72C9"/>
    <w:rsid w:val="007E0792"/>
    <w:rsid w:val="008174BA"/>
    <w:rsid w:val="00822F46"/>
    <w:rsid w:val="008662DA"/>
    <w:rsid w:val="008A0251"/>
    <w:rsid w:val="008E4F25"/>
    <w:rsid w:val="00907324"/>
    <w:rsid w:val="009078D9"/>
    <w:rsid w:val="00923FC3"/>
    <w:rsid w:val="009554B4"/>
    <w:rsid w:val="009579CE"/>
    <w:rsid w:val="0096165B"/>
    <w:rsid w:val="0097059A"/>
    <w:rsid w:val="00972710"/>
    <w:rsid w:val="0099445F"/>
    <w:rsid w:val="009E05E0"/>
    <w:rsid w:val="009E5723"/>
    <w:rsid w:val="00A11CB7"/>
    <w:rsid w:val="00A24C9C"/>
    <w:rsid w:val="00AA7C3F"/>
    <w:rsid w:val="00AC61DF"/>
    <w:rsid w:val="00AD0CB8"/>
    <w:rsid w:val="00AD7869"/>
    <w:rsid w:val="00B030FA"/>
    <w:rsid w:val="00B253F6"/>
    <w:rsid w:val="00B41180"/>
    <w:rsid w:val="00B93CB6"/>
    <w:rsid w:val="00BE0075"/>
    <w:rsid w:val="00C430A4"/>
    <w:rsid w:val="00C4507F"/>
    <w:rsid w:val="00C70AE1"/>
    <w:rsid w:val="00CB21A2"/>
    <w:rsid w:val="00CD36B5"/>
    <w:rsid w:val="00CE74AD"/>
    <w:rsid w:val="00D37EA1"/>
    <w:rsid w:val="00D872DE"/>
    <w:rsid w:val="00D87E99"/>
    <w:rsid w:val="00D949A3"/>
    <w:rsid w:val="00D9586C"/>
    <w:rsid w:val="00DA2CF3"/>
    <w:rsid w:val="00DF00C4"/>
    <w:rsid w:val="00DF210B"/>
    <w:rsid w:val="00DF328F"/>
    <w:rsid w:val="00E0731D"/>
    <w:rsid w:val="00E31F12"/>
    <w:rsid w:val="00E43B95"/>
    <w:rsid w:val="00EB3596"/>
    <w:rsid w:val="00EF23BA"/>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ces\Documents\My%20Dropbox\Chem%20120%20Labs%20Fa10\Graphing%20Lecture%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Density of Mercury at various Temperatures</a:t>
            </a:r>
            <a:r>
              <a:rPr lang="en-US" sz="1400" baseline="0"/>
              <a:t> </a:t>
            </a:r>
            <a:endParaRPr lang="en-US" sz="1400"/>
          </a:p>
          <a:p>
            <a:pPr>
              <a:defRPr/>
            </a:pPr>
            <a:r>
              <a:rPr lang="en-US" sz="1400"/>
              <a:t>Density</a:t>
            </a:r>
            <a:r>
              <a:rPr lang="en-US" sz="1400" baseline="0"/>
              <a:t> (g/mL) vs. Temperature (K)</a:t>
            </a:r>
            <a:endParaRPr lang="en-US" sz="1400"/>
          </a:p>
        </c:rich>
      </c:tx>
      <c:overlay val="0"/>
    </c:title>
    <c:autoTitleDeleted val="0"/>
    <c:plotArea>
      <c:layout/>
      <c:scatterChart>
        <c:scatterStyle val="lineMarker"/>
        <c:varyColors val="0"/>
        <c:ser>
          <c:idx val="0"/>
          <c:order val="0"/>
          <c:spPr>
            <a:ln w="28575">
              <a:noFill/>
            </a:ln>
          </c:spPr>
          <c:trendline>
            <c:trendlineType val="linear"/>
            <c:dispRSqr val="0"/>
            <c:dispEq val="0"/>
          </c:trendline>
          <c:trendline>
            <c:trendlineType val="linear"/>
            <c:dispRSqr val="0"/>
            <c:dispEq val="0"/>
          </c:trendline>
          <c:xVal>
            <c:numRef>
              <c:f>Sheet1!$AD$2:$AD$6</c:f>
              <c:numCache>
                <c:formatCode>General</c:formatCode>
                <c:ptCount val="5"/>
                <c:pt idx="0">
                  <c:v>263.8</c:v>
                </c:pt>
                <c:pt idx="1">
                  <c:v>272.89999999999998</c:v>
                </c:pt>
                <c:pt idx="2">
                  <c:v>283.5</c:v>
                </c:pt>
                <c:pt idx="3">
                  <c:v>292.8</c:v>
                </c:pt>
                <c:pt idx="4">
                  <c:v>303</c:v>
                </c:pt>
              </c:numCache>
            </c:numRef>
          </c:xVal>
          <c:yVal>
            <c:numRef>
              <c:f>Sheet1!$AE$2:$AE$6</c:f>
              <c:numCache>
                <c:formatCode>General</c:formatCode>
                <c:ptCount val="5"/>
                <c:pt idx="0">
                  <c:v>13.62</c:v>
                </c:pt>
                <c:pt idx="1">
                  <c:v>13.595000000000001</c:v>
                </c:pt>
                <c:pt idx="2">
                  <c:v>13.574999999999999</c:v>
                </c:pt>
                <c:pt idx="3">
                  <c:v>13.545999999999999</c:v>
                </c:pt>
                <c:pt idx="4">
                  <c:v>13.522</c:v>
                </c:pt>
              </c:numCache>
            </c:numRef>
          </c:yVal>
          <c:smooth val="0"/>
        </c:ser>
        <c:dLbls>
          <c:showLegendKey val="0"/>
          <c:showVal val="0"/>
          <c:showCatName val="0"/>
          <c:showSerName val="0"/>
          <c:showPercent val="0"/>
          <c:showBubbleSize val="0"/>
        </c:dLbls>
        <c:axId val="315958016"/>
        <c:axId val="315959936"/>
      </c:scatterChart>
      <c:valAx>
        <c:axId val="315958016"/>
        <c:scaling>
          <c:orientation val="minMax"/>
        </c:scaling>
        <c:delete val="0"/>
        <c:axPos val="b"/>
        <c:majorGridlines/>
        <c:minorGridlines/>
        <c:title>
          <c:tx>
            <c:rich>
              <a:bodyPr/>
              <a:lstStyle/>
              <a:p>
                <a:pPr>
                  <a:defRPr/>
                </a:pPr>
                <a:r>
                  <a:rPr lang="en-US"/>
                  <a:t>T (K)</a:t>
                </a:r>
              </a:p>
            </c:rich>
          </c:tx>
          <c:overlay val="0"/>
        </c:title>
        <c:numFmt formatCode="General" sourceLinked="1"/>
        <c:majorTickMark val="out"/>
        <c:minorTickMark val="none"/>
        <c:tickLblPos val="nextTo"/>
        <c:crossAx val="315959936"/>
        <c:crosses val="autoZero"/>
        <c:crossBetween val="midCat"/>
      </c:valAx>
      <c:valAx>
        <c:axId val="315959936"/>
        <c:scaling>
          <c:orientation val="minMax"/>
          <c:min val="13.5"/>
        </c:scaling>
        <c:delete val="0"/>
        <c:axPos val="l"/>
        <c:majorGridlines/>
        <c:minorGridlines/>
        <c:title>
          <c:tx>
            <c:rich>
              <a:bodyPr rot="-5400000" vert="horz"/>
              <a:lstStyle/>
              <a:p>
                <a:pPr>
                  <a:defRPr/>
                </a:pPr>
                <a:r>
                  <a:rPr lang="en-US"/>
                  <a:t>D (g/mL)</a:t>
                </a:r>
              </a:p>
            </c:rich>
          </c:tx>
          <c:overlay val="0"/>
        </c:title>
        <c:numFmt formatCode="#,##0.00" sourceLinked="0"/>
        <c:majorTickMark val="out"/>
        <c:minorTickMark val="none"/>
        <c:tickLblPos val="nextTo"/>
        <c:crossAx val="315958016"/>
        <c:crosses val="autoZero"/>
        <c:crossBetween val="midCat"/>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E612B"/>
    <w:rsid w:val="00246718"/>
    <w:rsid w:val="00322D9D"/>
    <w:rsid w:val="00381FE4"/>
    <w:rsid w:val="00383013"/>
    <w:rsid w:val="00443700"/>
    <w:rsid w:val="004922D4"/>
    <w:rsid w:val="005456CB"/>
    <w:rsid w:val="00605893"/>
    <w:rsid w:val="0066769E"/>
    <w:rsid w:val="006F1874"/>
    <w:rsid w:val="007C51D7"/>
    <w:rsid w:val="007F4806"/>
    <w:rsid w:val="008104D9"/>
    <w:rsid w:val="008516CB"/>
    <w:rsid w:val="0090672F"/>
    <w:rsid w:val="00925408"/>
    <w:rsid w:val="00A145CB"/>
    <w:rsid w:val="00A4589C"/>
    <w:rsid w:val="00B17825"/>
    <w:rsid w:val="00B44C2E"/>
    <w:rsid w:val="00BE2A84"/>
    <w:rsid w:val="00D12D1B"/>
    <w:rsid w:val="00D81E61"/>
    <w:rsid w:val="00D96806"/>
    <w:rsid w:val="00DF20E4"/>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22D9D"/>
    <w:rPr>
      <w:color w:val="808080"/>
    </w:rPr>
  </w:style>
  <w:style w:type="paragraph" w:customStyle="1" w:styleId="6A355F10C4774A0384207CABE74A784A">
    <w:name w:val="6A355F10C4774A0384207CABE74A784A"/>
    <w:rsid w:val="00322D9D"/>
  </w:style>
  <w:style w:type="paragraph" w:customStyle="1" w:styleId="D8679E64F2DD4AA3930DA7B8647E91EC">
    <w:name w:val="D8679E64F2DD4AA3930DA7B8647E91EC"/>
    <w:rsid w:val="00322D9D"/>
  </w:style>
  <w:style w:type="paragraph" w:customStyle="1" w:styleId="B0A3FB7953674018BF611BBEF084B098">
    <w:name w:val="B0A3FB7953674018BF611BBEF084B098"/>
    <w:rsid w:val="00322D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22D9D"/>
    <w:rPr>
      <w:color w:val="808080"/>
    </w:rPr>
  </w:style>
  <w:style w:type="paragraph" w:customStyle="1" w:styleId="6A355F10C4774A0384207CABE74A784A">
    <w:name w:val="6A355F10C4774A0384207CABE74A784A"/>
    <w:rsid w:val="00322D9D"/>
  </w:style>
  <w:style w:type="paragraph" w:customStyle="1" w:styleId="D8679E64F2DD4AA3930DA7B8647E91EC">
    <w:name w:val="D8679E64F2DD4AA3930DA7B8647E91EC"/>
    <w:rsid w:val="00322D9D"/>
  </w:style>
  <w:style w:type="paragraph" w:customStyle="1" w:styleId="B0A3FB7953674018BF611BBEF084B098">
    <w:name w:val="B0A3FB7953674018BF611BBEF084B098"/>
    <w:rsid w:val="00322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956F-8CDB-425B-902C-4657A3E0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3</cp:revision>
  <dcterms:created xsi:type="dcterms:W3CDTF">2018-09-13T04:25:00Z</dcterms:created>
  <dcterms:modified xsi:type="dcterms:W3CDTF">2018-09-13T04:29:00Z</dcterms:modified>
</cp:coreProperties>
</file>