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BE45" w14:textId="3C33B021" w:rsidR="002E7C87" w:rsidRPr="00B030FA" w:rsidRDefault="0008236D" w:rsidP="00DF210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Quiz 5</w:t>
      </w:r>
    </w:p>
    <w:p w14:paraId="20D8436C" w14:textId="77777777"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5C1D5EBE" w14:textId="56E591DB" w:rsidR="00B93B59" w:rsidRPr="00B93B59" w:rsidRDefault="00B93B59" w:rsidP="00B93B59">
      <w:pPr>
        <w:pStyle w:val="ListParagraph"/>
        <w:numPr>
          <w:ilvl w:val="0"/>
          <w:numId w:val="10"/>
        </w:numPr>
        <w:autoSpaceDE w:val="0"/>
        <w:autoSpaceDN w:val="0"/>
        <w:adjustRightInd w:val="0"/>
        <w:spacing w:after="0" w:line="240" w:lineRule="auto"/>
        <w:rPr>
          <w:szCs w:val="24"/>
        </w:rPr>
      </w:pPr>
      <w:r w:rsidRPr="00B93B59">
        <w:rPr>
          <w:szCs w:val="24"/>
        </w:rPr>
        <w:t>Two compounds with general formulas AX and AX</w:t>
      </w:r>
      <w:r w:rsidRPr="00B93B59">
        <w:rPr>
          <w:szCs w:val="24"/>
          <w:vertAlign w:val="subscript"/>
        </w:rPr>
        <w:t>2</w:t>
      </w:r>
      <w:r w:rsidRPr="00B93B59">
        <w:rPr>
          <w:szCs w:val="24"/>
        </w:rPr>
        <w:t xml:space="preserve"> have K</w:t>
      </w:r>
      <w:r w:rsidRPr="00B93B59">
        <w:rPr>
          <w:szCs w:val="24"/>
          <w:vertAlign w:val="subscript"/>
        </w:rPr>
        <w:t>sp</w:t>
      </w:r>
      <w:r w:rsidRPr="00B93B59">
        <w:rPr>
          <w:szCs w:val="24"/>
        </w:rPr>
        <w:t xml:space="preserve"> = 1.5 x 10</w:t>
      </w:r>
      <w:r w:rsidRPr="00B93B59">
        <w:rPr>
          <w:szCs w:val="24"/>
          <w:vertAlign w:val="superscript"/>
        </w:rPr>
        <w:t>-5</w:t>
      </w:r>
      <w:r w:rsidRPr="00B93B59">
        <w:rPr>
          <w:szCs w:val="24"/>
        </w:rPr>
        <w:t xml:space="preserve"> M. Which of the two compounds ha</w:t>
      </w:r>
      <w:r w:rsidR="000A0CC6">
        <w:rPr>
          <w:szCs w:val="24"/>
        </w:rPr>
        <w:t>s the higher molar solubility (2</w:t>
      </w:r>
      <w:r w:rsidRPr="00B93B59">
        <w:rPr>
          <w:szCs w:val="24"/>
        </w:rPr>
        <w:t xml:space="preserve"> points)?</w:t>
      </w:r>
    </w:p>
    <w:p w14:paraId="6DC87663" w14:textId="77777777" w:rsidR="00B93B59" w:rsidRDefault="00B93B59" w:rsidP="00B93B59">
      <w:pPr>
        <w:autoSpaceDE w:val="0"/>
        <w:autoSpaceDN w:val="0"/>
        <w:adjustRightInd w:val="0"/>
        <w:ind w:left="720"/>
        <w:rPr>
          <w:szCs w:val="24"/>
        </w:rPr>
      </w:pPr>
      <w:r w:rsidRPr="00B93B59">
        <w:rPr>
          <w:szCs w:val="24"/>
        </w:rPr>
        <w:t>AX</w:t>
      </w:r>
      <w:r w:rsidRPr="00B93B59">
        <w:rPr>
          <w:szCs w:val="24"/>
          <w:vertAlign w:val="subscript"/>
        </w:rPr>
        <w:t>2</w:t>
      </w:r>
    </w:p>
    <w:p w14:paraId="3E72AC3A" w14:textId="77777777" w:rsidR="00B93B59" w:rsidRDefault="00B93B59" w:rsidP="00B93B59">
      <w:pPr>
        <w:pStyle w:val="ListParagraph"/>
        <w:numPr>
          <w:ilvl w:val="0"/>
          <w:numId w:val="10"/>
        </w:numPr>
        <w:autoSpaceDE w:val="0"/>
        <w:autoSpaceDN w:val="0"/>
        <w:adjustRightInd w:val="0"/>
        <w:rPr>
          <w:szCs w:val="24"/>
        </w:rPr>
      </w:pPr>
      <w:r w:rsidRPr="00B93B59">
        <w:rPr>
          <w:szCs w:val="24"/>
        </w:rPr>
        <w:t>Describe the solubility of calcium fluoride in each of the following solutions compared to its s</w:t>
      </w:r>
      <w:r>
        <w:rPr>
          <w:szCs w:val="24"/>
        </w:rPr>
        <w:t xml:space="preserve">olubility in water. </w:t>
      </w:r>
      <w:r w:rsidRPr="00B93B59">
        <w:rPr>
          <w:szCs w:val="24"/>
        </w:rPr>
        <w:t>Be sure to explain your answers (6 points).</w:t>
      </w:r>
    </w:p>
    <w:p w14:paraId="5045F513" w14:textId="77777777" w:rsidR="00B93B59" w:rsidRPr="00B93B59" w:rsidRDefault="00B93B59" w:rsidP="00B93B59">
      <w:pPr>
        <w:pStyle w:val="ListParagraph"/>
        <w:numPr>
          <w:ilvl w:val="1"/>
          <w:numId w:val="10"/>
        </w:numPr>
        <w:autoSpaceDE w:val="0"/>
        <w:autoSpaceDN w:val="0"/>
        <w:adjustRightInd w:val="0"/>
        <w:rPr>
          <w:szCs w:val="24"/>
        </w:rPr>
      </w:pPr>
      <w:r w:rsidRPr="00B93B59">
        <w:rPr>
          <w:szCs w:val="24"/>
        </w:rPr>
        <w:t>In a 0.10 M sodium chloride solution</w:t>
      </w:r>
      <w:r w:rsidRPr="00B93B59">
        <w:rPr>
          <w:szCs w:val="24"/>
        </w:rPr>
        <w:tab/>
      </w:r>
      <w:r>
        <w:rPr>
          <w:szCs w:val="24"/>
        </w:rPr>
        <w:tab/>
      </w:r>
      <w:r>
        <w:rPr>
          <w:szCs w:val="24"/>
        </w:rPr>
        <w:tab/>
      </w:r>
      <w:r>
        <w:rPr>
          <w:szCs w:val="24"/>
        </w:rPr>
        <w:tab/>
      </w:r>
      <w:r>
        <w:rPr>
          <w:szCs w:val="24"/>
        </w:rPr>
        <w:tab/>
      </w:r>
      <w:r w:rsidRPr="00B93B59">
        <w:rPr>
          <w:szCs w:val="24"/>
        </w:rPr>
        <w:t>No change</w:t>
      </w:r>
    </w:p>
    <w:p w14:paraId="26D7C919" w14:textId="77777777" w:rsidR="00B93B59" w:rsidRPr="00B93B59" w:rsidRDefault="00B93B59" w:rsidP="00B93B59">
      <w:pPr>
        <w:pStyle w:val="ListParagraph"/>
        <w:numPr>
          <w:ilvl w:val="1"/>
          <w:numId w:val="10"/>
        </w:numPr>
        <w:autoSpaceDE w:val="0"/>
        <w:autoSpaceDN w:val="0"/>
        <w:adjustRightInd w:val="0"/>
        <w:spacing w:after="0" w:line="240" w:lineRule="auto"/>
        <w:rPr>
          <w:szCs w:val="24"/>
        </w:rPr>
      </w:pPr>
      <w:r w:rsidRPr="00B93B59">
        <w:rPr>
          <w:szCs w:val="24"/>
        </w:rPr>
        <w:t>In a 0.10 M sodium fluoride solution</w:t>
      </w:r>
      <w:r>
        <w:rPr>
          <w:szCs w:val="24"/>
        </w:rPr>
        <w:tab/>
      </w:r>
      <w:r>
        <w:rPr>
          <w:szCs w:val="24"/>
        </w:rPr>
        <w:tab/>
      </w:r>
      <w:r>
        <w:rPr>
          <w:szCs w:val="24"/>
        </w:rPr>
        <w:tab/>
      </w:r>
      <w:r>
        <w:rPr>
          <w:szCs w:val="24"/>
        </w:rPr>
        <w:tab/>
      </w:r>
      <w:r>
        <w:rPr>
          <w:szCs w:val="24"/>
        </w:rPr>
        <w:tab/>
      </w:r>
      <w:r w:rsidRPr="00B93B59">
        <w:rPr>
          <w:szCs w:val="24"/>
        </w:rPr>
        <w:t>Less soluble</w:t>
      </w:r>
    </w:p>
    <w:p w14:paraId="3F4A8CD6" w14:textId="77777777" w:rsidR="00B93B59" w:rsidRPr="00B93B59" w:rsidRDefault="00B93B59" w:rsidP="00B93B59">
      <w:pPr>
        <w:pStyle w:val="ListParagraph"/>
        <w:numPr>
          <w:ilvl w:val="1"/>
          <w:numId w:val="10"/>
        </w:numPr>
        <w:autoSpaceDE w:val="0"/>
        <w:autoSpaceDN w:val="0"/>
        <w:adjustRightInd w:val="0"/>
        <w:spacing w:after="0" w:line="240" w:lineRule="auto"/>
        <w:rPr>
          <w:szCs w:val="24"/>
        </w:rPr>
      </w:pPr>
      <w:r w:rsidRPr="00B93B59">
        <w:rPr>
          <w:szCs w:val="24"/>
        </w:rPr>
        <w:t>In a 0.10 M hydrochloric acid solution</w:t>
      </w:r>
      <w:r>
        <w:rPr>
          <w:szCs w:val="24"/>
        </w:rPr>
        <w:tab/>
      </w:r>
      <w:r>
        <w:rPr>
          <w:szCs w:val="24"/>
        </w:rPr>
        <w:tab/>
      </w:r>
      <w:r>
        <w:rPr>
          <w:szCs w:val="24"/>
        </w:rPr>
        <w:tab/>
      </w:r>
      <w:r>
        <w:rPr>
          <w:szCs w:val="24"/>
        </w:rPr>
        <w:tab/>
      </w:r>
      <w:r w:rsidRPr="00B93B59">
        <w:rPr>
          <w:szCs w:val="24"/>
        </w:rPr>
        <w:t>More soluble</w:t>
      </w:r>
    </w:p>
    <w:p w14:paraId="2A09D5E5" w14:textId="77777777" w:rsidR="00B93B59" w:rsidRPr="00B93B59" w:rsidRDefault="00B93B59" w:rsidP="000A0CC6">
      <w:pPr>
        <w:pStyle w:val="ListParagraph"/>
        <w:spacing w:after="0"/>
        <w:ind w:left="360"/>
        <w:rPr>
          <w:rFonts w:cs="Times New Roman"/>
          <w:szCs w:val="24"/>
        </w:rPr>
      </w:pPr>
    </w:p>
    <w:p w14:paraId="26DA746F" w14:textId="7D7864AC" w:rsidR="0008236D" w:rsidRPr="0008236D" w:rsidRDefault="0008236D" w:rsidP="0008236D">
      <w:pPr>
        <w:pStyle w:val="ListParagraph"/>
        <w:numPr>
          <w:ilvl w:val="0"/>
          <w:numId w:val="10"/>
        </w:numPr>
        <w:spacing w:after="0"/>
        <w:rPr>
          <w:rFonts w:cs="Times New Roman"/>
          <w:szCs w:val="24"/>
        </w:rPr>
      </w:pPr>
      <w:r>
        <w:t>Consider a solution prepared by mixing 50.00 mL of 2.5</w:t>
      </w:r>
      <w:r w:rsidR="00773B4A">
        <w:t>0</w:t>
      </w:r>
      <w:r>
        <w:t xml:space="preserve"> M ammonia with 50.00 mL of 0.001</w:t>
      </w:r>
      <w:r w:rsidR="00773B4A">
        <w:t>00</w:t>
      </w:r>
      <w:r>
        <w:t xml:space="preserve"> M silver nitrate. The </w:t>
      </w:r>
      <w:r w:rsidRPr="0008236D">
        <w:rPr>
          <w:rFonts w:cs="Times New Roman"/>
          <w:szCs w:val="24"/>
        </w:rPr>
        <w:t>following reactions may occur in the solution</w:t>
      </w:r>
      <w:r w:rsidR="00760938">
        <w:rPr>
          <w:rFonts w:cs="Times New Roman"/>
          <w:szCs w:val="24"/>
        </w:rPr>
        <w:t xml:space="preserve"> (12 points)</w:t>
      </w:r>
      <w:r w:rsidRPr="0008236D">
        <w:rPr>
          <w:rFonts w:cs="Times New Roman"/>
          <w:szCs w:val="24"/>
        </w:rPr>
        <w:t>:</w:t>
      </w:r>
    </w:p>
    <w:p w14:paraId="072F130B" w14:textId="6F02B545" w:rsidR="0008236D" w:rsidRPr="00773B4A" w:rsidRDefault="0008236D" w:rsidP="00773B4A">
      <w:pPr>
        <w:pStyle w:val="ListParagraph"/>
        <w:numPr>
          <w:ilvl w:val="0"/>
          <w:numId w:val="19"/>
        </w:numPr>
        <w:spacing w:after="0"/>
        <w:rPr>
          <w:rFonts w:cs="Times New Roman"/>
          <w:szCs w:val="24"/>
        </w:rPr>
      </w:pPr>
      <w:r w:rsidRPr="00773B4A">
        <w:rPr>
          <w:rFonts w:cs="Times New Roman"/>
          <w:szCs w:val="24"/>
        </w:rPr>
        <w:t>NH</w:t>
      </w:r>
      <w:r w:rsidRPr="00773B4A">
        <w:rPr>
          <w:rFonts w:cs="Times New Roman"/>
          <w:szCs w:val="24"/>
          <w:vertAlign w:val="subscript"/>
        </w:rPr>
        <w:t>3 (aq)</w:t>
      </w:r>
      <w:r w:rsidRPr="00773B4A">
        <w:rPr>
          <w:rFonts w:cs="Times New Roman"/>
          <w:szCs w:val="24"/>
        </w:rPr>
        <w:t xml:space="preserve"> + H</w:t>
      </w:r>
      <w:r w:rsidRPr="00773B4A">
        <w:rPr>
          <w:rFonts w:cs="Times New Roman"/>
          <w:szCs w:val="24"/>
          <w:vertAlign w:val="subscript"/>
        </w:rPr>
        <w:t>2</w:t>
      </w:r>
      <w:r w:rsidRPr="00773B4A">
        <w:rPr>
          <w:rFonts w:cs="Times New Roman"/>
          <w:szCs w:val="24"/>
        </w:rPr>
        <w:t>O</w:t>
      </w:r>
      <w:r w:rsidRPr="00773B4A">
        <w:rPr>
          <w:rFonts w:cs="Times New Roman"/>
          <w:szCs w:val="24"/>
          <w:vertAlign w:val="subscript"/>
        </w:rPr>
        <w:t xml:space="preserve"> (l)</w:t>
      </w:r>
      <w:r w:rsidRPr="00773B4A">
        <w:rPr>
          <w:rFonts w:cs="Times New Roman"/>
          <w:szCs w:val="24"/>
        </w:rPr>
        <w:t xml:space="preserve"> </w:t>
      </w:r>
      <m:oMath>
        <m:r>
          <w:rPr>
            <w:rFonts w:ascii="Cambria Math" w:hAnsi="Cambria Math" w:cs="Times New Roman"/>
            <w:szCs w:val="24"/>
          </w:rPr>
          <m:t>⇌</m:t>
        </m:r>
      </m:oMath>
      <w:r w:rsidRPr="00773B4A">
        <w:rPr>
          <w:rFonts w:eastAsiaTheme="minorEastAsia" w:cs="Times New Roman"/>
          <w:szCs w:val="24"/>
        </w:rPr>
        <w:t xml:space="preserve"> NH</w:t>
      </w:r>
      <w:r w:rsidRPr="00773B4A">
        <w:rPr>
          <w:rFonts w:eastAsiaTheme="minorEastAsia" w:cs="Times New Roman"/>
          <w:szCs w:val="24"/>
          <w:vertAlign w:val="subscript"/>
        </w:rPr>
        <w:t>4</w:t>
      </w:r>
      <w:r w:rsidRPr="00773B4A">
        <w:rPr>
          <w:rFonts w:eastAsiaTheme="minorEastAsia" w:cs="Times New Roman"/>
          <w:szCs w:val="24"/>
          <w:vertAlign w:val="superscript"/>
        </w:rPr>
        <w:t>+</w:t>
      </w:r>
      <w:r w:rsidRPr="00773B4A">
        <w:rPr>
          <w:rFonts w:eastAsiaTheme="minorEastAsia" w:cs="Times New Roman"/>
          <w:szCs w:val="24"/>
          <w:vertAlign w:val="subscript"/>
        </w:rPr>
        <w:t xml:space="preserve"> (aq)</w:t>
      </w:r>
      <w:r w:rsidRPr="00773B4A">
        <w:rPr>
          <w:rFonts w:cs="Times New Roman"/>
          <w:szCs w:val="24"/>
        </w:rPr>
        <w:t xml:space="preserve"> + OH</w:t>
      </w:r>
      <w:r w:rsidRPr="00773B4A">
        <w:rPr>
          <w:rFonts w:cs="Times New Roman"/>
          <w:szCs w:val="24"/>
          <w:vertAlign w:val="superscript"/>
        </w:rPr>
        <w:t>-</w:t>
      </w:r>
      <w:r w:rsidRPr="00773B4A">
        <w:rPr>
          <w:rFonts w:cs="Times New Roman"/>
          <w:szCs w:val="24"/>
          <w:vertAlign w:val="subscript"/>
        </w:rPr>
        <w:t xml:space="preserve"> (aq)</w:t>
      </w:r>
      <w:r w:rsidRPr="00773B4A">
        <w:rPr>
          <w:rFonts w:cs="Times New Roman"/>
          <w:szCs w:val="24"/>
        </w:rPr>
        <w:t xml:space="preserve"> </w:t>
      </w:r>
      <w:r w:rsidRPr="00773B4A">
        <w:rPr>
          <w:rFonts w:cs="Times New Roman"/>
          <w:szCs w:val="24"/>
        </w:rPr>
        <w:tab/>
        <w:t>K</w:t>
      </w:r>
      <w:r w:rsidRPr="00773B4A">
        <w:rPr>
          <w:rFonts w:cs="Times New Roman"/>
          <w:szCs w:val="24"/>
          <w:vertAlign w:val="subscript"/>
        </w:rPr>
        <w:t>b</w:t>
      </w:r>
      <w:r w:rsidRPr="00773B4A">
        <w:rPr>
          <w:rFonts w:cs="Times New Roman"/>
          <w:szCs w:val="24"/>
        </w:rPr>
        <w:t xml:space="preserve"> = 1.8 × 10</w:t>
      </w:r>
      <w:r w:rsidRPr="00773B4A">
        <w:rPr>
          <w:rFonts w:cs="Times New Roman"/>
          <w:szCs w:val="24"/>
          <w:vertAlign w:val="superscript"/>
        </w:rPr>
        <w:t>-5</w:t>
      </w:r>
    </w:p>
    <w:p w14:paraId="0FD498F6" w14:textId="4374E169" w:rsidR="0008236D" w:rsidRDefault="0008236D" w:rsidP="00773B4A">
      <w:pPr>
        <w:pStyle w:val="ListParagraph"/>
        <w:numPr>
          <w:ilvl w:val="0"/>
          <w:numId w:val="19"/>
        </w:numPr>
        <w:spacing w:after="0"/>
      </w:pPr>
      <w:r w:rsidRPr="0008236D">
        <w:rPr>
          <w:rFonts w:cs="Times New Roman"/>
          <w:szCs w:val="24"/>
        </w:rPr>
        <w:t>Ag</w:t>
      </w:r>
      <w:r w:rsidRPr="0008236D">
        <w:rPr>
          <w:rFonts w:cs="Times New Roman"/>
          <w:szCs w:val="24"/>
          <w:vertAlign w:val="superscript"/>
        </w:rPr>
        <w:t>+</w:t>
      </w:r>
      <w:r w:rsidRPr="0008236D">
        <w:rPr>
          <w:rFonts w:cs="Times New Roman"/>
          <w:szCs w:val="24"/>
          <w:vertAlign w:val="subscript"/>
        </w:rPr>
        <w:t xml:space="preserve"> (aq)</w:t>
      </w:r>
      <w:r w:rsidRPr="0008236D">
        <w:rPr>
          <w:rFonts w:cs="Times New Roman"/>
          <w:szCs w:val="24"/>
        </w:rPr>
        <w:t xml:space="preserve"> +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sidRPr="0008236D">
        <w:rPr>
          <w:rFonts w:eastAsiaTheme="minorEastAsia" w:cs="Times New Roman"/>
          <w:szCs w:val="24"/>
        </w:rPr>
        <w:t xml:space="preserve"> 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r>
      <w:r w:rsidRPr="0008236D">
        <w:rPr>
          <w:rFonts w:cs="Times New Roman"/>
          <w:szCs w:val="24"/>
        </w:rPr>
        <w:tab/>
        <w:t>K</w:t>
      </w:r>
      <w:r w:rsidRPr="0008236D">
        <w:rPr>
          <w:rFonts w:cs="Times New Roman"/>
          <w:szCs w:val="24"/>
          <w:vertAlign w:val="subscript"/>
        </w:rPr>
        <w:t>1</w:t>
      </w:r>
      <w:r w:rsidRPr="0008236D">
        <w:rPr>
          <w:rFonts w:cs="Times New Roman"/>
          <w:szCs w:val="24"/>
        </w:rPr>
        <w:t xml:space="preserve"> = 2.1 × 10</w:t>
      </w:r>
      <w:r w:rsidR="00773B4A">
        <w:rPr>
          <w:rFonts w:cs="Times New Roman"/>
          <w:szCs w:val="24"/>
          <w:vertAlign w:val="superscript"/>
        </w:rPr>
        <w:t>3</w:t>
      </w:r>
    </w:p>
    <w:p w14:paraId="70F0BD45" w14:textId="6A73D112" w:rsidR="00773B4A" w:rsidRPr="00773B4A" w:rsidRDefault="00773B4A" w:rsidP="00773B4A">
      <w:pPr>
        <w:pStyle w:val="ListParagraph"/>
        <w:numPr>
          <w:ilvl w:val="0"/>
          <w:numId w:val="19"/>
        </w:numPr>
        <w:spacing w:after="0"/>
      </w:pPr>
      <w:r w:rsidRPr="0008236D">
        <w:rPr>
          <w:rFonts w:eastAsiaTheme="minorEastAsia" w:cs="Times New Roman"/>
          <w:szCs w:val="24"/>
        </w:rPr>
        <w:t>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Pr>
          <w:rFonts w:eastAsiaTheme="minorEastAsia" w:cs="Times New Roman"/>
          <w:szCs w:val="24"/>
          <w:vertAlign w:val="subscript"/>
        </w:rPr>
        <w:t xml:space="preserve"> </w:t>
      </w:r>
      <w:r w:rsidRPr="0008236D">
        <w:rPr>
          <w:rFonts w:cs="Times New Roman"/>
          <w:szCs w:val="24"/>
        </w:rPr>
        <w:t>+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Pr>
          <w:rFonts w:eastAsiaTheme="minorEastAsia" w:cs="Times New Roman"/>
          <w:szCs w:val="24"/>
        </w:rPr>
        <w:t xml:space="preserve"> </w:t>
      </w:r>
      <w:r w:rsidRPr="0008236D">
        <w:rPr>
          <w:rFonts w:eastAsiaTheme="minorEastAsia" w:cs="Times New Roman"/>
          <w:szCs w:val="24"/>
        </w:rPr>
        <w:t>Ag</w:t>
      </w:r>
      <w:r>
        <w:rPr>
          <w:rFonts w:eastAsiaTheme="minorEastAsia" w:cs="Times New Roman"/>
          <w:szCs w:val="24"/>
        </w:rPr>
        <w:t>(</w:t>
      </w:r>
      <w:r w:rsidRPr="0008236D">
        <w:rPr>
          <w:rFonts w:eastAsiaTheme="minorEastAsia" w:cs="Times New Roman"/>
          <w:szCs w:val="24"/>
        </w:rPr>
        <w:t>NH</w:t>
      </w:r>
      <w:r w:rsidRPr="0008236D">
        <w:rPr>
          <w:rFonts w:eastAsiaTheme="minorEastAsia" w:cs="Times New Roman"/>
          <w:szCs w:val="24"/>
          <w:vertAlign w:val="subscript"/>
        </w:rPr>
        <w:t>3</w:t>
      </w:r>
      <w:r>
        <w:t>)</w:t>
      </w:r>
      <w:r>
        <w:rPr>
          <w:vertAlign w:val="subscript"/>
        </w:rPr>
        <w:t>2</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t>K</w:t>
      </w:r>
      <w:r>
        <w:rPr>
          <w:rFonts w:cs="Times New Roman"/>
          <w:szCs w:val="24"/>
          <w:vertAlign w:val="subscript"/>
        </w:rPr>
        <w:t>2</w:t>
      </w:r>
      <w:r>
        <w:rPr>
          <w:rFonts w:cs="Times New Roman"/>
          <w:szCs w:val="24"/>
        </w:rPr>
        <w:t xml:space="preserve"> = 8.2</w:t>
      </w:r>
      <w:r w:rsidRPr="0008236D">
        <w:rPr>
          <w:rFonts w:cs="Times New Roman"/>
          <w:szCs w:val="24"/>
        </w:rPr>
        <w:t xml:space="preserve"> × 10</w:t>
      </w:r>
      <w:r>
        <w:rPr>
          <w:rFonts w:cs="Times New Roman"/>
          <w:szCs w:val="24"/>
          <w:vertAlign w:val="superscript"/>
        </w:rPr>
        <w:t>3</w:t>
      </w:r>
    </w:p>
    <w:p w14:paraId="4F322BB0" w14:textId="54A7B275" w:rsidR="00760938" w:rsidRDefault="00773B4A" w:rsidP="00760938">
      <w:pPr>
        <w:pStyle w:val="ListParagraph"/>
        <w:numPr>
          <w:ilvl w:val="1"/>
          <w:numId w:val="10"/>
        </w:numPr>
        <w:spacing w:after="0"/>
      </w:pPr>
      <w:r>
        <w:t xml:space="preserve">Which reaction does not go to completion? </w:t>
      </w:r>
      <w:r>
        <w:tab/>
      </w:r>
      <w:r>
        <w:tab/>
      </w:r>
      <w:r>
        <w:tab/>
        <w:t>_____i______</w:t>
      </w:r>
    </w:p>
    <w:p w14:paraId="49CEBB68" w14:textId="3FB2F372" w:rsidR="00773B4A" w:rsidRDefault="00773B4A" w:rsidP="00773B4A">
      <w:pPr>
        <w:pStyle w:val="ListParagraph"/>
        <w:numPr>
          <w:ilvl w:val="1"/>
          <w:numId w:val="10"/>
        </w:numPr>
        <w:spacing w:after="0"/>
      </w:pPr>
      <w:r>
        <w:t>What are the equilibrium concentrations of Ag</w:t>
      </w:r>
      <w:r>
        <w:rPr>
          <w:vertAlign w:val="superscript"/>
        </w:rPr>
        <w:t>+</w:t>
      </w:r>
      <w:r>
        <w:t>, AgNH</w:t>
      </w:r>
      <w:r>
        <w:rPr>
          <w:vertAlign w:val="subscript"/>
        </w:rPr>
        <w:t>3</w:t>
      </w:r>
      <w:r>
        <w:rPr>
          <w:vertAlign w:val="superscript"/>
        </w:rPr>
        <w:t>+</w:t>
      </w:r>
      <w:r>
        <w:t>, and Ag(NH</w:t>
      </w:r>
      <w:r>
        <w:rPr>
          <w:vertAlign w:val="subscript"/>
        </w:rPr>
        <w:t>3</w:t>
      </w:r>
      <w:r>
        <w:t>)</w:t>
      </w:r>
      <w:r>
        <w:rPr>
          <w:vertAlign w:val="subscript"/>
        </w:rPr>
        <w:t>2</w:t>
      </w:r>
      <w:r>
        <w:rPr>
          <w:vertAlign w:val="superscript"/>
        </w:rPr>
        <w:t>+</w:t>
      </w:r>
      <w:r>
        <w:t xml:space="preserve">? </w:t>
      </w:r>
    </w:p>
    <w:p w14:paraId="42FF7B95" w14:textId="0FD6A99D" w:rsidR="00773B4A" w:rsidRDefault="00773B4A" w:rsidP="00773B4A">
      <w:pPr>
        <w:spacing w:after="0"/>
      </w:pPr>
      <w:r>
        <w:t>First, complete a limiting reagent experiment:</w:t>
      </w:r>
    </w:p>
    <w:tbl>
      <w:tblPr>
        <w:tblStyle w:val="TableGrid"/>
        <w:tblW w:w="0" w:type="auto"/>
        <w:tblLook w:val="04A0" w:firstRow="1" w:lastRow="0" w:firstColumn="1" w:lastColumn="0" w:noHBand="0" w:noVBand="1"/>
      </w:tblPr>
      <w:tblGrid>
        <w:gridCol w:w="451"/>
        <w:gridCol w:w="3167"/>
        <w:gridCol w:w="3042"/>
        <w:gridCol w:w="2196"/>
      </w:tblGrid>
      <w:tr w:rsidR="00773B4A" w14:paraId="34BB589D" w14:textId="77777777" w:rsidTr="00773B4A">
        <w:tc>
          <w:tcPr>
            <w:tcW w:w="451" w:type="dxa"/>
          </w:tcPr>
          <w:p w14:paraId="46E46813" w14:textId="77777777" w:rsidR="00773B4A" w:rsidRDefault="00773B4A" w:rsidP="00773B4A"/>
        </w:tc>
        <w:tc>
          <w:tcPr>
            <w:tcW w:w="3167" w:type="dxa"/>
          </w:tcPr>
          <w:p w14:paraId="2C9B14E7" w14:textId="798037AA" w:rsidR="00773B4A" w:rsidRPr="00773B4A" w:rsidRDefault="00773B4A" w:rsidP="00773B4A">
            <w:r>
              <w:t>Ag</w:t>
            </w:r>
            <w:r>
              <w:rPr>
                <w:vertAlign w:val="superscript"/>
              </w:rPr>
              <w:t>+</w:t>
            </w:r>
            <w:r>
              <w:rPr>
                <w:vertAlign w:val="subscript"/>
              </w:rPr>
              <w:t xml:space="preserve"> (aq)</w:t>
            </w:r>
            <w:r>
              <w:t xml:space="preserve"> + </w:t>
            </w:r>
          </w:p>
        </w:tc>
        <w:tc>
          <w:tcPr>
            <w:tcW w:w="3042" w:type="dxa"/>
          </w:tcPr>
          <w:p w14:paraId="547DB5FD" w14:textId="11742F19" w:rsidR="00773B4A" w:rsidRPr="00773B4A" w:rsidRDefault="00773B4A" w:rsidP="00773B4A">
            <w:r w:rsidRPr="00426CE3">
              <w:rPr>
                <w:color w:val="FF0000"/>
              </w:rPr>
              <w:t>2</w:t>
            </w:r>
            <w:r>
              <w:t xml:space="preserve"> NH</w:t>
            </w:r>
            <w:r>
              <w:rPr>
                <w:vertAlign w:val="subscript"/>
              </w:rPr>
              <w:t>3 (aq)</w:t>
            </w:r>
            <w:r>
              <w:t xml:space="preserve"> </w:t>
            </w:r>
            <w:r w:rsidRPr="00D3207C">
              <w:rPr>
                <w:rFonts w:cs="Times New Roman"/>
              </w:rPr>
              <w:t>→</w:t>
            </w:r>
          </w:p>
        </w:tc>
        <w:tc>
          <w:tcPr>
            <w:tcW w:w="2196" w:type="dxa"/>
          </w:tcPr>
          <w:p w14:paraId="75BB7D1B" w14:textId="7C87729B" w:rsidR="00773B4A" w:rsidRPr="00760938" w:rsidRDefault="00773B4A" w:rsidP="00773B4A">
            <w:r>
              <w:t>Ag(NH</w:t>
            </w:r>
            <w:r>
              <w:rPr>
                <w:vertAlign w:val="subscript"/>
              </w:rPr>
              <w:t>3</w:t>
            </w:r>
            <w:r>
              <w:t>)</w:t>
            </w:r>
            <w:r>
              <w:rPr>
                <w:vertAlign w:val="subscript"/>
              </w:rPr>
              <w:t>2</w:t>
            </w:r>
            <w:r>
              <w:rPr>
                <w:vertAlign w:val="superscript"/>
              </w:rPr>
              <w:t>+</w:t>
            </w:r>
            <w:r w:rsidR="00760938">
              <w:rPr>
                <w:vertAlign w:val="subscript"/>
              </w:rPr>
              <w:t xml:space="preserve"> (aq)</w:t>
            </w:r>
            <w:r w:rsidR="00760938">
              <w:t xml:space="preserve"> </w:t>
            </w:r>
          </w:p>
        </w:tc>
      </w:tr>
      <w:tr w:rsidR="00773B4A" w14:paraId="3334324C" w14:textId="77777777" w:rsidTr="00773B4A">
        <w:tc>
          <w:tcPr>
            <w:tcW w:w="451" w:type="dxa"/>
          </w:tcPr>
          <w:p w14:paraId="23CBBAB3" w14:textId="0839E683" w:rsidR="00773B4A" w:rsidRDefault="00773B4A" w:rsidP="00773B4A">
            <w:r>
              <w:t>I</w:t>
            </w:r>
          </w:p>
        </w:tc>
        <w:tc>
          <w:tcPr>
            <w:tcW w:w="3167" w:type="dxa"/>
          </w:tcPr>
          <w:p w14:paraId="74A86495" w14:textId="77777777" w:rsidR="00773B4A" w:rsidRPr="00773B4A" w:rsidRDefault="00B70522" w:rsidP="00773B4A">
            <w:pPr>
              <w:rPr>
                <w:rFonts w:eastAsiaTheme="minorEastAsia"/>
              </w:rPr>
            </w:pPr>
            <m:oMathPara>
              <m:oMath>
                <m:f>
                  <m:fPr>
                    <m:ctrlPr>
                      <w:rPr>
                        <w:rFonts w:ascii="Cambria Math" w:hAnsi="Cambria Math"/>
                        <w:i/>
                      </w:rPr>
                    </m:ctrlPr>
                  </m:fPr>
                  <m:num>
                    <m:r>
                      <w:rPr>
                        <w:rFonts w:ascii="Cambria Math" w:hAnsi="Cambria Math"/>
                      </w:rPr>
                      <m:t>(50.00 mL)(0.0010 M)</m:t>
                    </m:r>
                  </m:num>
                  <m:den>
                    <m:r>
                      <w:rPr>
                        <w:rFonts w:ascii="Cambria Math" w:hAnsi="Cambria Math"/>
                      </w:rPr>
                      <m:t>(50.00 mL+50.00 mL)</m:t>
                    </m:r>
                  </m:den>
                </m:f>
                <m:r>
                  <w:rPr>
                    <w:rFonts w:ascii="Cambria Math" w:eastAsiaTheme="minorEastAsia" w:hAnsi="Cambria Math"/>
                  </w:rPr>
                  <m:t>=</m:t>
                </m:r>
              </m:oMath>
            </m:oMathPara>
          </w:p>
          <w:p w14:paraId="124356C8" w14:textId="2F403243" w:rsidR="00773B4A" w:rsidRDefault="00773B4A" w:rsidP="00773B4A">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c>
          <w:tcPr>
            <w:tcW w:w="3042" w:type="dxa"/>
          </w:tcPr>
          <w:p w14:paraId="3E8B67A6" w14:textId="26A3F669" w:rsidR="00773B4A" w:rsidRPr="00773B4A" w:rsidRDefault="00B70522" w:rsidP="00773B4A">
            <w:pPr>
              <w:rPr>
                <w:rFonts w:eastAsiaTheme="minorEastAsia"/>
              </w:rPr>
            </w:pPr>
            <m:oMathPara>
              <m:oMath>
                <m:f>
                  <m:fPr>
                    <m:ctrlPr>
                      <w:rPr>
                        <w:rFonts w:ascii="Cambria Math" w:hAnsi="Cambria Math"/>
                        <w:i/>
                      </w:rPr>
                    </m:ctrlPr>
                  </m:fPr>
                  <m:num>
                    <m:r>
                      <w:rPr>
                        <w:rFonts w:ascii="Cambria Math" w:hAnsi="Cambria Math"/>
                      </w:rPr>
                      <m:t>(50.00 mL)(2.50 M)</m:t>
                    </m:r>
                  </m:num>
                  <m:den>
                    <m:r>
                      <w:rPr>
                        <w:rFonts w:ascii="Cambria Math" w:hAnsi="Cambria Math"/>
                      </w:rPr>
                      <m:t>(50.00 mL+50.00 mL)</m:t>
                    </m:r>
                  </m:den>
                </m:f>
                <m:r>
                  <w:rPr>
                    <w:rFonts w:ascii="Cambria Math" w:hAnsi="Cambria Math"/>
                  </w:rPr>
                  <m:t>=</m:t>
                </m:r>
              </m:oMath>
            </m:oMathPara>
          </w:p>
          <w:p w14:paraId="3C64DEAB" w14:textId="1CCB784D" w:rsidR="00773B4A" w:rsidRDefault="00773B4A" w:rsidP="00773B4A">
            <m:oMathPara>
              <m:oMath>
                <m:r>
                  <w:rPr>
                    <w:rFonts w:ascii="Cambria Math" w:hAnsi="Cambria Math"/>
                  </w:rPr>
                  <m:t>=1.25 M</m:t>
                </m:r>
              </m:oMath>
            </m:oMathPara>
          </w:p>
        </w:tc>
        <w:tc>
          <w:tcPr>
            <w:tcW w:w="2196" w:type="dxa"/>
          </w:tcPr>
          <w:p w14:paraId="04BF1FD0" w14:textId="4C9152BC" w:rsidR="00773B4A" w:rsidRDefault="00773B4A" w:rsidP="00773B4A">
            <w:r>
              <w:t>0 M</w:t>
            </w:r>
          </w:p>
        </w:tc>
      </w:tr>
      <w:tr w:rsidR="00773B4A" w14:paraId="3C326DAD" w14:textId="77777777" w:rsidTr="00773B4A">
        <w:tc>
          <w:tcPr>
            <w:tcW w:w="451" w:type="dxa"/>
          </w:tcPr>
          <w:p w14:paraId="24E26245" w14:textId="2CC137E9" w:rsidR="00773B4A" w:rsidRDefault="00773B4A" w:rsidP="00773B4A">
            <w:r>
              <w:t>C</w:t>
            </w:r>
          </w:p>
        </w:tc>
        <w:tc>
          <w:tcPr>
            <w:tcW w:w="3167" w:type="dxa"/>
          </w:tcPr>
          <w:p w14:paraId="747A6F3D" w14:textId="118EE1D7" w:rsidR="00773B4A" w:rsidRDefault="00426CE3" w:rsidP="00773B4A">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c>
          <w:tcPr>
            <w:tcW w:w="3042" w:type="dxa"/>
          </w:tcPr>
          <w:p w14:paraId="180A6B01" w14:textId="44949FE1" w:rsidR="00773B4A" w:rsidRDefault="00426CE3" w:rsidP="00773B4A">
            <m:oMathPara>
              <m:oMath>
                <m:r>
                  <w:rPr>
                    <w:rFonts w:ascii="Cambria Math" w:hAnsi="Cambria Math"/>
                  </w:rPr>
                  <m:t>-</m:t>
                </m:r>
                <m:r>
                  <w:rPr>
                    <w:rFonts w:ascii="Cambria Math" w:hAnsi="Cambria Math"/>
                    <w:color w:val="FF0000"/>
                  </w:rPr>
                  <m:t>2</m:t>
                </m:r>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r>
                  <w:rPr>
                    <w:rFonts w:ascii="Cambria Math" w:eastAsiaTheme="minorEastAsia" w:hAnsi="Cambria Math"/>
                  </w:rPr>
                  <m:t>)</m:t>
                </m:r>
              </m:oMath>
            </m:oMathPara>
          </w:p>
        </w:tc>
        <w:tc>
          <w:tcPr>
            <w:tcW w:w="2196" w:type="dxa"/>
          </w:tcPr>
          <w:p w14:paraId="62B7B1F2" w14:textId="608B7431" w:rsidR="00773B4A" w:rsidRDefault="00426CE3" w:rsidP="00773B4A">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r>
      <w:tr w:rsidR="00773B4A" w14:paraId="6191ECA7" w14:textId="77777777" w:rsidTr="00773B4A">
        <w:tc>
          <w:tcPr>
            <w:tcW w:w="451" w:type="dxa"/>
          </w:tcPr>
          <w:p w14:paraId="196D7C9D" w14:textId="1DEA31C2" w:rsidR="00773B4A" w:rsidRDefault="00773B4A" w:rsidP="00773B4A">
            <w:r>
              <w:t>E</w:t>
            </w:r>
          </w:p>
        </w:tc>
        <w:tc>
          <w:tcPr>
            <w:tcW w:w="3167" w:type="dxa"/>
          </w:tcPr>
          <w:p w14:paraId="75A65ABD" w14:textId="7B0C8F88" w:rsidR="00773B4A" w:rsidRDefault="00B93B59" w:rsidP="00426CE3">
            <m:oMathPara>
              <m:oMath>
                <m:r>
                  <w:rPr>
                    <w:rFonts w:ascii="Cambria Math" w:hAnsi="Cambria Math"/>
                  </w:rPr>
                  <m:t>=0 M</m:t>
                </m:r>
              </m:oMath>
            </m:oMathPara>
          </w:p>
        </w:tc>
        <w:tc>
          <w:tcPr>
            <w:tcW w:w="3042" w:type="dxa"/>
          </w:tcPr>
          <w:p w14:paraId="09F3FD26" w14:textId="40C3430B" w:rsidR="00773B4A" w:rsidRDefault="00B93B59" w:rsidP="00773B4A">
            <m:oMathPara>
              <m:oMath>
                <m:r>
                  <w:rPr>
                    <w:rFonts w:ascii="Cambria Math" w:hAnsi="Cambria Math"/>
                  </w:rPr>
                  <m:t>=1.25 M</m:t>
                </m:r>
              </m:oMath>
            </m:oMathPara>
          </w:p>
        </w:tc>
        <w:tc>
          <w:tcPr>
            <w:tcW w:w="2196" w:type="dxa"/>
          </w:tcPr>
          <w:p w14:paraId="70435146" w14:textId="1DEFD32B" w:rsidR="00773B4A" w:rsidRDefault="00B93B59" w:rsidP="00773B4A">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r>
    </w:tbl>
    <w:p w14:paraId="2BDD9299" w14:textId="0358A2D4" w:rsidR="00426CE3" w:rsidRDefault="00426CE3" w:rsidP="00773B4A">
      <w:pPr>
        <w:spacing w:after="0"/>
      </w:pPr>
      <w:r>
        <w:t xml:space="preserve">Then look at equilibrium: </w:t>
      </w:r>
    </w:p>
    <w:p w14:paraId="6B12BB65" w14:textId="52733A2A" w:rsidR="00426CE3" w:rsidRPr="00426CE3" w:rsidRDefault="00426CE3" w:rsidP="00426CE3">
      <w:pPr>
        <w:spacing w:after="0"/>
      </w:pPr>
      <w:r w:rsidRPr="00426CE3">
        <w:rPr>
          <w:rFonts w:eastAsiaTheme="minorEastAsia" w:cs="Times New Roman"/>
          <w:szCs w:val="24"/>
        </w:rPr>
        <w:t>AgNH</w:t>
      </w:r>
      <w:r w:rsidRPr="00426CE3">
        <w:rPr>
          <w:rFonts w:eastAsiaTheme="minorEastAsia" w:cs="Times New Roman"/>
          <w:szCs w:val="24"/>
          <w:vertAlign w:val="subscript"/>
        </w:rPr>
        <w:t>3</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 </w:t>
      </w:r>
      <w:r w:rsidRPr="00426CE3">
        <w:rPr>
          <w:rFonts w:cs="Times New Roman"/>
          <w:szCs w:val="24"/>
        </w:rPr>
        <w:t>+ NH</w:t>
      </w:r>
      <w:r w:rsidRPr="00426CE3">
        <w:rPr>
          <w:rFonts w:cs="Times New Roman"/>
          <w:szCs w:val="24"/>
          <w:vertAlign w:val="subscript"/>
        </w:rPr>
        <w:t>3 (aq)</w:t>
      </w:r>
      <w:r w:rsidRPr="00426CE3">
        <w:rPr>
          <w:rFonts w:cs="Times New Roman"/>
          <w:szCs w:val="24"/>
        </w:rPr>
        <w:t xml:space="preserve"> </w:t>
      </w:r>
      <m:oMath>
        <m:r>
          <w:rPr>
            <w:rFonts w:ascii="Cambria Math" w:hAnsi="Cambria Math" w:cs="Times New Roman"/>
            <w:szCs w:val="24"/>
          </w:rPr>
          <m:t>⇌</m:t>
        </m:r>
      </m:oMath>
      <w:r w:rsidRPr="00426CE3">
        <w:rPr>
          <w:rFonts w:eastAsiaTheme="minorEastAsia" w:cs="Times New Roman"/>
          <w:szCs w:val="24"/>
        </w:rPr>
        <w:t xml:space="preserve"> Ag(NH</w:t>
      </w:r>
      <w:r w:rsidRPr="00426CE3">
        <w:rPr>
          <w:rFonts w:eastAsiaTheme="minorEastAsia" w:cs="Times New Roman"/>
          <w:szCs w:val="24"/>
          <w:vertAlign w:val="subscript"/>
        </w:rPr>
        <w:t>3</w:t>
      </w:r>
      <w:r>
        <w:t>)</w:t>
      </w:r>
      <w:r w:rsidRPr="00426CE3">
        <w:rPr>
          <w:vertAlign w:val="subscript"/>
        </w:rPr>
        <w:t>2</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w:t>
      </w:r>
      <w:r w:rsidRPr="00426CE3">
        <w:rPr>
          <w:rFonts w:cs="Times New Roman"/>
          <w:szCs w:val="24"/>
        </w:rPr>
        <w:t xml:space="preserve"> </w:t>
      </w:r>
      <w:r w:rsidRPr="00426CE3">
        <w:rPr>
          <w:rFonts w:cs="Times New Roman"/>
          <w:szCs w:val="24"/>
        </w:rPr>
        <w:tab/>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=8.2×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Ag(N</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den>
        </m:f>
      </m:oMath>
    </w:p>
    <w:p w14:paraId="7A6B54F6" w14:textId="5F5EA7E7" w:rsidR="00426CE3" w:rsidRPr="00426CE3" w:rsidRDefault="00B70522" w:rsidP="00773B4A">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=8.2×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num>
            <m:den>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(1.25 M)</m:t>
              </m:r>
            </m:den>
          </m:f>
        </m:oMath>
      </m:oMathPara>
    </w:p>
    <w:p w14:paraId="4D5C40BA" w14:textId="66E2E56E" w:rsidR="00426CE3" w:rsidRPr="00426CE3" w:rsidRDefault="00B70522" w:rsidP="00773B4A">
      <w:pPr>
        <w:spacing w:after="0"/>
        <w:rPr>
          <w:rFonts w:eastAsiaTheme="minorEastAsia"/>
        </w:rPr>
      </w:pPr>
      <m:oMathPara>
        <m:oMath>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=4.88×</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oMath>
      </m:oMathPara>
    </w:p>
    <w:p w14:paraId="7053EA80" w14:textId="0A7CDB13" w:rsidR="00426CE3" w:rsidRPr="00426CE3" w:rsidRDefault="00426CE3" w:rsidP="00426CE3">
      <w:pPr>
        <w:spacing w:after="0"/>
      </w:pPr>
      <w:r w:rsidRPr="00426CE3">
        <w:rPr>
          <w:rFonts w:cs="Times New Roman"/>
          <w:szCs w:val="24"/>
        </w:rPr>
        <w:t>Ag</w:t>
      </w:r>
      <w:r w:rsidRPr="00426CE3">
        <w:rPr>
          <w:rFonts w:cs="Times New Roman"/>
          <w:szCs w:val="24"/>
          <w:vertAlign w:val="superscript"/>
        </w:rPr>
        <w:t>+</w:t>
      </w:r>
      <w:r w:rsidRPr="00426CE3">
        <w:rPr>
          <w:rFonts w:cs="Times New Roman"/>
          <w:szCs w:val="24"/>
          <w:vertAlign w:val="subscript"/>
        </w:rPr>
        <w:t xml:space="preserve"> (aq)</w:t>
      </w:r>
      <w:r w:rsidRPr="00426CE3">
        <w:rPr>
          <w:rFonts w:cs="Times New Roman"/>
          <w:szCs w:val="24"/>
        </w:rPr>
        <w:t xml:space="preserve"> + NH</w:t>
      </w:r>
      <w:r w:rsidRPr="00426CE3">
        <w:rPr>
          <w:rFonts w:cs="Times New Roman"/>
          <w:szCs w:val="24"/>
          <w:vertAlign w:val="subscript"/>
        </w:rPr>
        <w:t>3 (aq)</w:t>
      </w:r>
      <w:r w:rsidRPr="00426CE3">
        <w:rPr>
          <w:rFonts w:cs="Times New Roman"/>
          <w:szCs w:val="24"/>
        </w:rPr>
        <w:t xml:space="preserve"> </w:t>
      </w:r>
      <m:oMath>
        <m:r>
          <w:rPr>
            <w:rFonts w:ascii="Cambria Math" w:hAnsi="Cambria Math" w:cs="Times New Roman"/>
            <w:szCs w:val="24"/>
          </w:rPr>
          <m:t>⇌</m:t>
        </m:r>
      </m:oMath>
      <w:r w:rsidRPr="00426CE3">
        <w:rPr>
          <w:rFonts w:eastAsiaTheme="minorEastAsia" w:cs="Times New Roman"/>
          <w:szCs w:val="24"/>
        </w:rPr>
        <w:t xml:space="preserve"> AgNH</w:t>
      </w:r>
      <w:r w:rsidRPr="00426CE3">
        <w:rPr>
          <w:rFonts w:eastAsiaTheme="minorEastAsia" w:cs="Times New Roman"/>
          <w:szCs w:val="24"/>
          <w:vertAlign w:val="subscript"/>
        </w:rPr>
        <w:t>3</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w:t>
      </w:r>
      <w:r w:rsidRPr="00426CE3">
        <w:rPr>
          <w:rFonts w:cs="Times New Roman"/>
          <w:szCs w:val="24"/>
        </w:rPr>
        <w:t xml:space="preserve"> </w:t>
      </w:r>
      <w:r w:rsidRPr="00426CE3">
        <w:rPr>
          <w:rFonts w:cs="Times New Roman"/>
          <w:szCs w:val="24"/>
        </w:rPr>
        <w:tab/>
      </w:r>
      <w:r w:rsidRPr="00426CE3">
        <w:rPr>
          <w:rFonts w:cs="Times New Roman"/>
          <w:szCs w:val="24"/>
        </w:rPr>
        <w:tab/>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den>
        </m:f>
      </m:oMath>
    </w:p>
    <w:p w14:paraId="5E5813DA" w14:textId="0E3D3576" w:rsidR="00426CE3" w:rsidRPr="00426CE3" w:rsidRDefault="00B70522" w:rsidP="00426CE3">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4.88×</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(1.25 M)</m:t>
              </m:r>
            </m:den>
          </m:f>
        </m:oMath>
      </m:oMathPara>
    </w:p>
    <w:p w14:paraId="73FE8D00" w14:textId="5D1F055D" w:rsidR="00426CE3" w:rsidRPr="00426CE3" w:rsidRDefault="00B70522" w:rsidP="00426CE3">
      <w:pPr>
        <w:spacing w:after="0"/>
        <w:rPr>
          <w:rFonts w:eastAsiaTheme="minorEastAsia"/>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=1.86×</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oMath>
      </m:oMathPara>
    </w:p>
    <w:p w14:paraId="218AEBC4" w14:textId="50DBF2A0" w:rsidR="00B83172" w:rsidRPr="00B93B59" w:rsidRDefault="00B83172" w:rsidP="00760938">
      <w:pPr>
        <w:spacing w:after="0"/>
        <w:rPr>
          <w:szCs w:val="24"/>
        </w:rPr>
      </w:pPr>
    </w:p>
    <w:sectPr w:rsidR="00B83172" w:rsidRPr="00B93B5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BF12" w14:textId="77777777" w:rsidR="00B70522" w:rsidRDefault="00B70522" w:rsidP="00B030FA">
      <w:pPr>
        <w:spacing w:after="0" w:line="240" w:lineRule="auto"/>
      </w:pPr>
      <w:r>
        <w:separator/>
      </w:r>
    </w:p>
  </w:endnote>
  <w:endnote w:type="continuationSeparator" w:id="0">
    <w:p w14:paraId="146FA627" w14:textId="77777777" w:rsidR="00B70522" w:rsidRDefault="00B7052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75B4A60C"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D71F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71F3">
              <w:rPr>
                <w:b/>
                <w:bCs/>
                <w:noProof/>
              </w:rPr>
              <w:t>1</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1A13" w14:textId="77777777" w:rsidR="00B70522" w:rsidRDefault="00B70522" w:rsidP="00B030FA">
      <w:pPr>
        <w:spacing w:after="0" w:line="240" w:lineRule="auto"/>
      </w:pPr>
      <w:r>
        <w:separator/>
      </w:r>
    </w:p>
  </w:footnote>
  <w:footnote w:type="continuationSeparator" w:id="0">
    <w:p w14:paraId="15AA9FEF" w14:textId="77777777" w:rsidR="00B70522" w:rsidRDefault="00B70522"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2879"/>
    <w:multiLevelType w:val="hybridMultilevel"/>
    <w:tmpl w:val="0B726C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1D4"/>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C00F8"/>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E1D6F"/>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B0C1A"/>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20"/>
  </w:num>
  <w:num w:numId="5">
    <w:abstractNumId w:val="12"/>
  </w:num>
  <w:num w:numId="6">
    <w:abstractNumId w:val="16"/>
  </w:num>
  <w:num w:numId="7">
    <w:abstractNumId w:val="6"/>
  </w:num>
  <w:num w:numId="8">
    <w:abstractNumId w:val="8"/>
  </w:num>
  <w:num w:numId="9">
    <w:abstractNumId w:val="15"/>
  </w:num>
  <w:num w:numId="10">
    <w:abstractNumId w:val="9"/>
  </w:num>
  <w:num w:numId="11">
    <w:abstractNumId w:val="0"/>
  </w:num>
  <w:num w:numId="12">
    <w:abstractNumId w:val="2"/>
  </w:num>
  <w:num w:numId="13">
    <w:abstractNumId w:val="19"/>
  </w:num>
  <w:num w:numId="14">
    <w:abstractNumId w:val="18"/>
  </w:num>
  <w:num w:numId="15">
    <w:abstractNumId w:val="10"/>
  </w:num>
  <w:num w:numId="16">
    <w:abstractNumId w:val="21"/>
  </w:num>
  <w:num w:numId="17">
    <w:abstractNumId w:val="5"/>
  </w:num>
  <w:num w:numId="18">
    <w:abstractNumId w:val="1"/>
  </w:num>
  <w:num w:numId="19">
    <w:abstractNumId w:val="11"/>
  </w:num>
  <w:num w:numId="20">
    <w:abstractNumId w:val="17"/>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64613"/>
    <w:rsid w:val="0008236D"/>
    <w:rsid w:val="00083ED4"/>
    <w:rsid w:val="00086DCD"/>
    <w:rsid w:val="000A0CC6"/>
    <w:rsid w:val="00105A07"/>
    <w:rsid w:val="00153B39"/>
    <w:rsid w:val="00187315"/>
    <w:rsid w:val="001A3D07"/>
    <w:rsid w:val="001C1F1E"/>
    <w:rsid w:val="001D155E"/>
    <w:rsid w:val="001E77F8"/>
    <w:rsid w:val="001F6DB8"/>
    <w:rsid w:val="0021530E"/>
    <w:rsid w:val="002274D7"/>
    <w:rsid w:val="00235222"/>
    <w:rsid w:val="0026399B"/>
    <w:rsid w:val="00263FFF"/>
    <w:rsid w:val="002A06AE"/>
    <w:rsid w:val="002B4BCE"/>
    <w:rsid w:val="002D0C1C"/>
    <w:rsid w:val="002E0064"/>
    <w:rsid w:val="002E7C87"/>
    <w:rsid w:val="00313B39"/>
    <w:rsid w:val="00321A85"/>
    <w:rsid w:val="003553F2"/>
    <w:rsid w:val="00365FA6"/>
    <w:rsid w:val="003A1C80"/>
    <w:rsid w:val="003B6C78"/>
    <w:rsid w:val="003F0EE3"/>
    <w:rsid w:val="003F3035"/>
    <w:rsid w:val="003F6975"/>
    <w:rsid w:val="00426CE3"/>
    <w:rsid w:val="00434086"/>
    <w:rsid w:val="004366AB"/>
    <w:rsid w:val="00440514"/>
    <w:rsid w:val="004665AA"/>
    <w:rsid w:val="00473B5A"/>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5E5C40"/>
    <w:rsid w:val="00636857"/>
    <w:rsid w:val="00636C4C"/>
    <w:rsid w:val="006602D8"/>
    <w:rsid w:val="0068272F"/>
    <w:rsid w:val="006A1079"/>
    <w:rsid w:val="006A255A"/>
    <w:rsid w:val="006C5BEF"/>
    <w:rsid w:val="006D3906"/>
    <w:rsid w:val="006E3533"/>
    <w:rsid w:val="006F75D5"/>
    <w:rsid w:val="00701CDE"/>
    <w:rsid w:val="0071514A"/>
    <w:rsid w:val="00736E57"/>
    <w:rsid w:val="00743C35"/>
    <w:rsid w:val="00760938"/>
    <w:rsid w:val="00773B4A"/>
    <w:rsid w:val="007A15E4"/>
    <w:rsid w:val="007A2FEF"/>
    <w:rsid w:val="007C118D"/>
    <w:rsid w:val="007C2635"/>
    <w:rsid w:val="007C26B6"/>
    <w:rsid w:val="007E0792"/>
    <w:rsid w:val="007E26F2"/>
    <w:rsid w:val="007F1DF8"/>
    <w:rsid w:val="00806B7F"/>
    <w:rsid w:val="00852172"/>
    <w:rsid w:val="0086791D"/>
    <w:rsid w:val="008723AF"/>
    <w:rsid w:val="00881B99"/>
    <w:rsid w:val="008B21D3"/>
    <w:rsid w:val="008F6BA0"/>
    <w:rsid w:val="009201A9"/>
    <w:rsid w:val="00925DA8"/>
    <w:rsid w:val="00944423"/>
    <w:rsid w:val="00956210"/>
    <w:rsid w:val="009579CE"/>
    <w:rsid w:val="0098120B"/>
    <w:rsid w:val="0098442F"/>
    <w:rsid w:val="00985944"/>
    <w:rsid w:val="0099445F"/>
    <w:rsid w:val="009A26A4"/>
    <w:rsid w:val="009A7AF5"/>
    <w:rsid w:val="009B21D0"/>
    <w:rsid w:val="009B4935"/>
    <w:rsid w:val="009D0573"/>
    <w:rsid w:val="009D7675"/>
    <w:rsid w:val="009E1AF1"/>
    <w:rsid w:val="00A33B01"/>
    <w:rsid w:val="00A90EF8"/>
    <w:rsid w:val="00A93040"/>
    <w:rsid w:val="00AA7C3F"/>
    <w:rsid w:val="00AC57C8"/>
    <w:rsid w:val="00B030FA"/>
    <w:rsid w:val="00B03F7F"/>
    <w:rsid w:val="00B1274C"/>
    <w:rsid w:val="00B16312"/>
    <w:rsid w:val="00B173F4"/>
    <w:rsid w:val="00B6127E"/>
    <w:rsid w:val="00B70522"/>
    <w:rsid w:val="00B83172"/>
    <w:rsid w:val="00B93B59"/>
    <w:rsid w:val="00BC3395"/>
    <w:rsid w:val="00C0069A"/>
    <w:rsid w:val="00C13419"/>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7009F"/>
    <w:rsid w:val="00E75917"/>
    <w:rsid w:val="00E91EC1"/>
    <w:rsid w:val="00ED3D0F"/>
    <w:rsid w:val="00ED4085"/>
    <w:rsid w:val="00F02A19"/>
    <w:rsid w:val="00F129BB"/>
    <w:rsid w:val="00F2227C"/>
    <w:rsid w:val="00F27C23"/>
    <w:rsid w:val="00F312D2"/>
    <w:rsid w:val="00F60E8B"/>
    <w:rsid w:val="00F6526C"/>
    <w:rsid w:val="00F8148F"/>
    <w:rsid w:val="00F87EBA"/>
    <w:rsid w:val="00F95CC2"/>
    <w:rsid w:val="00FD03EE"/>
    <w:rsid w:val="00FD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8ECFFF68-C749-48BC-9198-FE86964F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2C9B-8D35-44D3-8DCC-F8BD3A6E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2</cp:revision>
  <dcterms:created xsi:type="dcterms:W3CDTF">2019-10-17T15:48:00Z</dcterms:created>
  <dcterms:modified xsi:type="dcterms:W3CDTF">2019-10-17T15:48:00Z</dcterms:modified>
</cp:coreProperties>
</file>