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450"/>
        <w:gridCol w:w="1710"/>
        <w:gridCol w:w="2700"/>
        <w:gridCol w:w="4500"/>
        <w:tblGridChange w:id="0">
          <w:tblGrid>
            <w:gridCol w:w="558"/>
            <w:gridCol w:w="450"/>
            <w:gridCol w:w="1710"/>
            <w:gridCol w:w="2700"/>
            <w:gridCol w:w="4500"/>
          </w:tblGrid>
        </w:tblGridChange>
      </w:tblGrid>
      <w:tr>
        <w:trPr>
          <w:trHeight w:val="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tc>
      </w:tr>
      <w:tr>
        <w:trPr>
          <w:trHeight w:val="16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 </w:t>
            </w:r>
            <w:r w:rsidDel="00000000" w:rsidR="00000000" w:rsidRPr="00000000">
              <w:rPr>
                <w:rFonts w:ascii="Times New Roman" w:cs="Times New Roman" w:eastAsia="Times New Roman" w:hAnsi="Times New Roman"/>
                <w:i w:val="1"/>
                <w:rtl w:val="0"/>
              </w:rPr>
              <w:t xml:space="preserve">Each speaker will be given a maximum of 4 minutes to address the senate about a non-agendized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agendized items.</w:t>
            </w: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3, 2018</w:t>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MINUTES FROM: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19, 2018                     (5 minutes)</w:t>
            </w:r>
          </w:p>
        </w:tc>
      </w:tr>
      <w:tr>
        <w:trPr>
          <w:trHeight w:val="18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REPORT</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tabs>
                <w:tab w:val="left" w:pos="765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SLO/SSO Coordinators positions                                                                        (5 minutes)                                                                        </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tc>
      </w:tr>
      <w:tr>
        <w:trPr>
          <w:trHeight w:val="12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Committee (see report)</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Senate Election Committee (Steve Davis)</w:t>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Program Review (Joyce Fries)                                                          (25 minutes)</w:t>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INFORMATIONAL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and the 10+1 (Lida Rafia, Pearl Lopez, Shawn Hicks)                          (45 minutes)</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90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Academic Senate may move information items to action upon a 2/3 vote.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{Section 5. Quorum“A simple majority of Senators including Senator designees recognized by the Chair at the openings of meetings shall constitute a quorum. Senator positions not filled by departments will not be includ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quorum determination.” Average number of senators attending the first three Senate meetings, Fall, 2011: 54}</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08/14/18Jkv</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2371090</wp:posOffset>
          </wp:positionH>
          <wp:positionV relativeFrom="paragraph">
            <wp:posOffset>276225</wp:posOffset>
          </wp:positionV>
          <wp:extent cx="1029084" cy="6858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29084" cy="685800"/>
                  </a:xfrm>
                  <a:prstGeom prst="rect"/>
                  <a:ln/>
                </pic:spPr>
              </pic:pic>
            </a:graphicData>
          </a:graphic>
        </wp:anchor>
      </w:drawing>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Grossmont College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Senate Meeting</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Monday, December 03, 2018</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w:t>
      <w:br w:type="textWrapp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