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840B94" w:rsidRDefault="009D63B0"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What is the equation that you use to calculate standard deviation (2 points)?</w:t>
      </w:r>
    </w:p>
    <w:p w:rsidR="009D63B0" w:rsidRPr="009D63B0" w:rsidRDefault="009D63B0" w:rsidP="009D63B0">
      <w:pPr>
        <w:pStyle w:val="ListParagraph"/>
        <w:keepLines/>
        <w:suppressAutoHyphens/>
        <w:autoSpaceDE w:val="0"/>
        <w:autoSpaceDN w:val="0"/>
        <w:adjustRightInd w:val="0"/>
        <w:spacing w:after="0" w:line="240" w:lineRule="auto"/>
        <w:ind w:left="360"/>
        <w:rPr>
          <w:rFonts w:eastAsiaTheme="minorEastAsia" w:cs="Times New Roman"/>
          <w:color w:val="000000"/>
          <w:szCs w:val="24"/>
        </w:rPr>
      </w:pPr>
      <m:oMathPara>
        <m:oMath>
          <m:r>
            <w:rPr>
              <w:rFonts w:ascii="Cambria Math" w:hAnsi="Cambria Math" w:cs="Times New Roman"/>
              <w:color w:val="000000"/>
              <w:szCs w:val="24"/>
            </w:rPr>
            <m:t>σ=</m:t>
          </m:r>
          <m:rad>
            <m:radPr>
              <m:degHide m:val="1"/>
              <m:ctrlPr>
                <w:rPr>
                  <w:rFonts w:ascii="Cambria Math" w:hAnsi="Cambria Math" w:cs="Times New Roman"/>
                  <w:i/>
                  <w:color w:val="000000"/>
                  <w:szCs w:val="24"/>
                </w:rPr>
              </m:ctrlPr>
            </m:radPr>
            <m:deg/>
            <m:e>
              <m:f>
                <m:fPr>
                  <m:ctrlPr>
                    <w:rPr>
                      <w:rFonts w:ascii="Cambria Math" w:hAnsi="Cambria Math" w:cs="Times New Roman"/>
                      <w:i/>
                      <w:color w:val="000000"/>
                      <w:szCs w:val="24"/>
                    </w:rPr>
                  </m:ctrlPr>
                </m:fPr>
                <m:num>
                  <m:r>
                    <m:rPr>
                      <m:sty m:val="p"/>
                    </m:rPr>
                    <w:rPr>
                      <w:rFonts w:ascii="Cambria Math" w:hAnsi="Cambria Math" w:cs="Times New Roman"/>
                      <w:color w:val="000000"/>
                      <w:szCs w:val="24"/>
                    </w:rPr>
                    <m:t>Σ</m:t>
                  </m:r>
                  <m:sSup>
                    <m:sSupPr>
                      <m:ctrlPr>
                        <w:rPr>
                          <w:rFonts w:ascii="Cambria Math" w:hAnsi="Cambria Math" w:cs="Times New Roman"/>
                          <w:i/>
                          <w:color w:val="000000"/>
                          <w:szCs w:val="24"/>
                        </w:rPr>
                      </m:ctrlPr>
                    </m:sSupPr>
                    <m:e>
                      <m:r>
                        <w:rPr>
                          <w:rFonts w:ascii="Cambria Math" w:hAnsi="Cambria Math" w:cs="Times New Roman"/>
                          <w:color w:val="000000"/>
                          <w:szCs w:val="24"/>
                        </w:rPr>
                        <m:t>d</m:t>
                      </m:r>
                    </m:e>
                    <m:sup>
                      <m:r>
                        <w:rPr>
                          <w:rFonts w:ascii="Cambria Math" w:hAnsi="Cambria Math" w:cs="Times New Roman"/>
                          <w:color w:val="000000"/>
                          <w:szCs w:val="24"/>
                        </w:rPr>
                        <m:t>2</m:t>
                      </m:r>
                    </m:sup>
                  </m:sSup>
                </m:num>
                <m:den>
                  <m:r>
                    <w:rPr>
                      <w:rFonts w:ascii="Cambria Math" w:hAnsi="Cambria Math" w:cs="Times New Roman"/>
                      <w:color w:val="000000"/>
                      <w:szCs w:val="24"/>
                    </w:rPr>
                    <m:t>n-1</m:t>
                  </m:r>
                </m:den>
              </m:f>
            </m:e>
          </m:rad>
        </m:oMath>
      </m:oMathPara>
    </w:p>
    <w:p w:rsidR="009D63B0" w:rsidRDefault="009D63B0" w:rsidP="009D63B0">
      <w:pPr>
        <w:pStyle w:val="ListParagraph"/>
        <w:keepLines/>
        <w:suppressAutoHyphens/>
        <w:autoSpaceDE w:val="0"/>
        <w:autoSpaceDN w:val="0"/>
        <w:adjustRightInd w:val="0"/>
        <w:spacing w:after="0" w:line="240" w:lineRule="auto"/>
        <w:ind w:left="360"/>
        <w:rPr>
          <w:rFonts w:cs="Times New Roman"/>
          <w:color w:val="000000"/>
          <w:szCs w:val="24"/>
        </w:rPr>
      </w:pPr>
    </w:p>
    <w:p w:rsidR="009D63B0" w:rsidRDefault="009D63B0" w:rsidP="009D63B0">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Name three types of experimental error (3 points).</w:t>
      </w:r>
    </w:p>
    <w:p w:rsidR="009D63B0" w:rsidRDefault="009D63B0" w:rsidP="009D63B0">
      <w:pPr>
        <w:pStyle w:val="ListParagraph"/>
        <w:keepLines/>
        <w:suppressAutoHyphens/>
        <w:autoSpaceDE w:val="0"/>
        <w:autoSpaceDN w:val="0"/>
        <w:adjustRightInd w:val="0"/>
        <w:spacing w:after="0" w:line="240" w:lineRule="auto"/>
        <w:ind w:left="360"/>
        <w:rPr>
          <w:rFonts w:cs="Times New Roman"/>
          <w:color w:val="000000"/>
          <w:szCs w:val="24"/>
        </w:rPr>
      </w:pPr>
      <w:r>
        <w:rPr>
          <w:rFonts w:cs="Times New Roman"/>
          <w:color w:val="000000"/>
          <w:szCs w:val="24"/>
        </w:rPr>
        <w:t>Random error, systematic error, and gross error</w:t>
      </w:r>
    </w:p>
    <w:p w:rsidR="009D63B0" w:rsidRPr="009D63B0" w:rsidRDefault="009D63B0" w:rsidP="009D63B0">
      <w:pPr>
        <w:pStyle w:val="ListParagraph"/>
        <w:keepLines/>
        <w:suppressAutoHyphens/>
        <w:autoSpaceDE w:val="0"/>
        <w:autoSpaceDN w:val="0"/>
        <w:adjustRightInd w:val="0"/>
        <w:spacing w:after="0" w:line="240" w:lineRule="auto"/>
        <w:ind w:left="360"/>
        <w:rPr>
          <w:rFonts w:cs="Times New Roman"/>
          <w:color w:val="000000"/>
          <w:szCs w:val="24"/>
        </w:rPr>
      </w:pPr>
    </w:p>
    <w:p w:rsidR="00840B94" w:rsidRDefault="00840B94"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A chemist in an imaginary universe does an experiment that attempts to correlate the size of an atom with its chemical reactivity. The results are tabulated as follows</w:t>
      </w:r>
      <w:r w:rsidR="00931EE5">
        <w:rPr>
          <w:rFonts w:cs="Times New Roman"/>
          <w:color w:val="000000"/>
          <w:szCs w:val="24"/>
        </w:rPr>
        <w:t xml:space="preserve"> (4</w:t>
      </w:r>
      <w:r>
        <w:rPr>
          <w:rFonts w:cs="Times New Roman"/>
          <w:color w:val="000000"/>
          <w:szCs w:val="24"/>
        </w:rPr>
        <w:t xml:space="preserve"> points)</w:t>
      </w:r>
      <w:r>
        <w:rPr>
          <w:rFonts w:cs="Times New Roman"/>
          <w:color w:val="000000"/>
          <w:szCs w:val="24"/>
        </w:rPr>
        <w:t>.</w:t>
      </w:r>
    </w:p>
    <w:tbl>
      <w:tblPr>
        <w:tblStyle w:val="TableGrid"/>
        <w:tblW w:w="0" w:type="auto"/>
        <w:tblInd w:w="558" w:type="dxa"/>
        <w:tblLook w:val="04A0" w:firstRow="1" w:lastRow="0" w:firstColumn="1" w:lastColumn="0" w:noHBand="0" w:noVBand="1"/>
      </w:tblPr>
      <w:tblGrid>
        <w:gridCol w:w="1800"/>
        <w:gridCol w:w="2340"/>
      </w:tblGrid>
      <w:tr w:rsidR="00840B94" w:rsidTr="00840B94">
        <w:tc>
          <w:tcPr>
            <w:tcW w:w="180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Size of Atom</w:t>
            </w:r>
          </w:p>
        </w:tc>
        <w:tc>
          <w:tcPr>
            <w:tcW w:w="234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Chemical Reactivity</w:t>
            </w:r>
          </w:p>
        </w:tc>
      </w:tr>
      <w:tr w:rsidR="00840B94" w:rsidTr="00840B94">
        <w:tc>
          <w:tcPr>
            <w:tcW w:w="180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small</w:t>
            </w:r>
          </w:p>
        </w:tc>
        <w:tc>
          <w:tcPr>
            <w:tcW w:w="234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low</w:t>
            </w:r>
          </w:p>
        </w:tc>
      </w:tr>
      <w:tr w:rsidR="00840B94" w:rsidTr="00840B94">
        <w:tc>
          <w:tcPr>
            <w:tcW w:w="180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 xml:space="preserve">medium </w:t>
            </w:r>
          </w:p>
        </w:tc>
        <w:tc>
          <w:tcPr>
            <w:tcW w:w="234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 xml:space="preserve">intermediate </w:t>
            </w:r>
          </w:p>
        </w:tc>
      </w:tr>
      <w:tr w:rsidR="00840B94" w:rsidTr="00840B94">
        <w:tc>
          <w:tcPr>
            <w:tcW w:w="180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 xml:space="preserve">large </w:t>
            </w:r>
          </w:p>
        </w:tc>
        <w:tc>
          <w:tcPr>
            <w:tcW w:w="2340" w:type="dxa"/>
          </w:tcPr>
          <w:p w:rsidR="00840B94" w:rsidRDefault="00840B94" w:rsidP="00463EFB">
            <w:pPr>
              <w:keepLines/>
              <w:suppressAutoHyphens/>
              <w:autoSpaceDE w:val="0"/>
              <w:autoSpaceDN w:val="0"/>
              <w:adjustRightInd w:val="0"/>
              <w:rPr>
                <w:rFonts w:cs="Times New Roman"/>
                <w:color w:val="000000"/>
                <w:szCs w:val="24"/>
              </w:rPr>
            </w:pPr>
            <w:r>
              <w:rPr>
                <w:rFonts w:cs="Times New Roman"/>
                <w:color w:val="000000"/>
                <w:szCs w:val="24"/>
              </w:rPr>
              <w:t>high</w:t>
            </w:r>
          </w:p>
        </w:tc>
      </w:tr>
    </w:tbl>
    <w:p w:rsidR="00840B94" w:rsidRDefault="00840B94" w:rsidP="00840B94">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Formulate a law from this data.</w:t>
      </w:r>
    </w:p>
    <w:p w:rsidR="00840B94" w:rsidRDefault="00840B94" w:rsidP="00840B94">
      <w:pPr>
        <w:keepLines/>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All atoms contain a degree of chemical reactivity. The larger the size of an atom, the higher the chemical reactivity of that atom. </w:t>
      </w:r>
    </w:p>
    <w:p w:rsidR="00840B94" w:rsidRPr="00001998" w:rsidRDefault="00840B94" w:rsidP="00840B94">
      <w:pPr>
        <w:keepLines/>
        <w:suppressAutoHyphens/>
        <w:autoSpaceDE w:val="0"/>
        <w:autoSpaceDN w:val="0"/>
        <w:adjustRightInd w:val="0"/>
        <w:spacing w:after="0" w:line="240" w:lineRule="auto"/>
        <w:rPr>
          <w:rFonts w:cs="Times New Roman"/>
          <w:color w:val="000000"/>
          <w:szCs w:val="24"/>
        </w:rPr>
      </w:pPr>
    </w:p>
    <w:p w:rsidR="00840B94" w:rsidRDefault="00840B94" w:rsidP="00840B94">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Formulate a theory to explain this law. </w:t>
      </w:r>
    </w:p>
    <w:p w:rsidR="00840B94" w:rsidRDefault="00840B94" w:rsidP="00840B94">
      <w:pPr>
        <w:keepLines/>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There are many correct answers. One example is” Conceivable, when the size of an atom is increased, the surface area of the atom is also increased; an atom with a greater surface area is more likely to react chemically. </w:t>
      </w:r>
    </w:p>
    <w:p w:rsidR="00840B94" w:rsidRDefault="00840B94" w:rsidP="00840B94">
      <w:pPr>
        <w:pStyle w:val="ListParagraph"/>
        <w:ind w:left="360"/>
      </w:pPr>
    </w:p>
    <w:p w:rsidR="006D4C50" w:rsidRDefault="00840B94" w:rsidP="00C93D86">
      <w:pPr>
        <w:pStyle w:val="ListParagraph"/>
        <w:numPr>
          <w:ilvl w:val="0"/>
          <w:numId w:val="2"/>
        </w:numPr>
        <w:ind w:left="360"/>
      </w:pPr>
      <w:r>
        <w:t>Which of these properties of water are intensive and which are extensive properties</w:t>
      </w:r>
      <w:r w:rsidR="00931EE5">
        <w:t xml:space="preserve"> (3</w:t>
      </w:r>
      <w:r>
        <w:t xml:space="preserve"> points)?</w:t>
      </w:r>
    </w:p>
    <w:p w:rsidR="00840B94" w:rsidRDefault="00840B94" w:rsidP="00840B94">
      <w:pPr>
        <w:pStyle w:val="ListParagraph"/>
        <w:numPr>
          <w:ilvl w:val="1"/>
          <w:numId w:val="2"/>
        </w:numPr>
        <w:ind w:left="720"/>
      </w:pPr>
      <w:r>
        <w:t>The density of water at room temperature and pressure.</w:t>
      </w:r>
      <w:r>
        <w:tab/>
        <w:t>____intensive property</w:t>
      </w:r>
    </w:p>
    <w:p w:rsidR="00840B94" w:rsidRDefault="00840B94" w:rsidP="00840B94">
      <w:pPr>
        <w:pStyle w:val="ListParagraph"/>
        <w:numPr>
          <w:ilvl w:val="1"/>
          <w:numId w:val="2"/>
        </w:numPr>
        <w:ind w:left="720"/>
      </w:pPr>
      <w:r>
        <w:t>The temperature at which water freezes.</w:t>
      </w:r>
      <w:r>
        <w:tab/>
      </w:r>
      <w:r>
        <w:tab/>
      </w:r>
      <w:r>
        <w:tab/>
        <w:t>____intensive property</w:t>
      </w:r>
    </w:p>
    <w:p w:rsidR="00840B94" w:rsidRDefault="00840B94" w:rsidP="00840B94">
      <w:pPr>
        <w:pStyle w:val="ListParagraph"/>
        <w:numPr>
          <w:ilvl w:val="1"/>
          <w:numId w:val="2"/>
        </w:numPr>
        <w:ind w:left="720"/>
      </w:pPr>
      <w:r>
        <w:t>The mass of water in your body.</w:t>
      </w:r>
      <w:r>
        <w:tab/>
      </w:r>
      <w:r>
        <w:tab/>
      </w:r>
      <w:r>
        <w:tab/>
      </w:r>
      <w:r>
        <w:tab/>
        <w:t>____extensive property</w:t>
      </w:r>
    </w:p>
    <w:p w:rsidR="006B0B61" w:rsidRDefault="006B0B61" w:rsidP="006B0B61">
      <w:pPr>
        <w:pStyle w:val="ListParagraph"/>
      </w:pPr>
      <w:bookmarkStart w:id="0" w:name="_GoBack"/>
      <w:bookmarkEnd w:id="0"/>
    </w:p>
    <w:p w:rsidR="006B0B61" w:rsidRDefault="006B0B61" w:rsidP="006B0B61">
      <w:pPr>
        <w:pStyle w:val="ListParagraph"/>
        <w:numPr>
          <w:ilvl w:val="0"/>
          <w:numId w:val="2"/>
        </w:numPr>
        <w:ind w:left="360"/>
      </w:pPr>
      <w:r>
        <w:t>Aspirin has a density of 1.40 g/cm</w:t>
      </w:r>
      <w:r>
        <w:rPr>
          <w:vertAlign w:val="superscript"/>
        </w:rPr>
        <w:t>3</w:t>
      </w:r>
      <w:r>
        <w:t>. What is the volume, in teaspoons, of a tablet weighing 325 mg? 1 cup = 48 teaspoons (8 points)</w:t>
      </w:r>
    </w:p>
    <w:p w:rsidR="006B0B61" w:rsidRPr="008A083B" w:rsidRDefault="006B0B61" w:rsidP="006B0B61">
      <w:pPr>
        <w:rPr>
          <w:rFonts w:eastAsiaTheme="minorEastAsia"/>
        </w:rPr>
      </w:pPr>
      <m:oMathPara>
        <m:oMath>
          <m:r>
            <w:rPr>
              <w:rFonts w:ascii="Cambria Math" w:hAnsi="Cambria Math"/>
            </w:rPr>
            <m:t>325 mg×</m:t>
          </m:r>
          <m:f>
            <m:fPr>
              <m:ctrlPr>
                <w:rPr>
                  <w:rFonts w:ascii="Cambria Math" w:hAnsi="Cambria Math"/>
                  <w:i/>
                </w:rPr>
              </m:ctrlPr>
            </m:fPr>
            <m:num>
              <m:r>
                <w:rPr>
                  <w:rFonts w:ascii="Cambria Math" w:hAnsi="Cambria Math"/>
                </w:rPr>
                <m:t>1 g</m:t>
              </m:r>
            </m:num>
            <m:den>
              <m:r>
                <w:rPr>
                  <w:rFonts w:ascii="Cambria Math" w:hAnsi="Cambria Math"/>
                </w:rPr>
                <m:t>1000 mg</m:t>
              </m:r>
            </m:den>
          </m:f>
          <m:r>
            <w:rPr>
              <w:rFonts w:ascii="Cambria Math" w:hAnsi="Cambria Math"/>
            </w:rPr>
            <m:t>×</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num>
            <m:den>
              <m:r>
                <w:rPr>
                  <w:rFonts w:ascii="Cambria Math" w:hAnsi="Cambria Math"/>
                </w:rPr>
                <m:t>1.40 g</m:t>
              </m:r>
            </m:den>
          </m:f>
          <m:r>
            <w:rPr>
              <w:rFonts w:ascii="Cambria Math" w:hAnsi="Cambria Math"/>
            </w:rPr>
            <m:t>×</m:t>
          </m:r>
          <m:f>
            <m:fPr>
              <m:ctrlPr>
                <w:rPr>
                  <w:rFonts w:ascii="Cambria Math" w:hAnsi="Cambria Math"/>
                  <w:i/>
                </w:rPr>
              </m:ctrlPr>
            </m:fPr>
            <m:num>
              <m:r>
                <w:rPr>
                  <w:rFonts w:ascii="Cambria Math" w:hAnsi="Cambria Math"/>
                </w:rPr>
                <m:t>1 mL</m:t>
              </m:r>
            </m:num>
            <m:den>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 qt</m:t>
              </m:r>
            </m:num>
            <m:den>
              <m:r>
                <w:rPr>
                  <w:rFonts w:ascii="Cambria Math" w:hAnsi="Cambria Math"/>
                </w:rPr>
                <m:t>946.4 mL</m:t>
              </m:r>
            </m:den>
          </m:f>
          <m:r>
            <w:rPr>
              <w:rFonts w:ascii="Cambria Math" w:hAnsi="Cambria Math"/>
            </w:rPr>
            <m:t>×</m:t>
          </m:r>
          <m:f>
            <m:fPr>
              <m:ctrlPr>
                <w:rPr>
                  <w:rFonts w:ascii="Cambria Math" w:hAnsi="Cambria Math"/>
                  <w:i/>
                </w:rPr>
              </m:ctrlPr>
            </m:fPr>
            <m:num>
              <m:r>
                <w:rPr>
                  <w:rFonts w:ascii="Cambria Math" w:hAnsi="Cambria Math"/>
                </w:rPr>
                <m:t>4 cups</m:t>
              </m:r>
            </m:num>
            <m:den>
              <m:r>
                <w:rPr>
                  <w:rFonts w:ascii="Cambria Math" w:hAnsi="Cambria Math"/>
                </w:rPr>
                <m:t>1 qt</m:t>
              </m:r>
            </m:den>
          </m:f>
          <m:r>
            <w:rPr>
              <w:rFonts w:ascii="Cambria Math" w:hAnsi="Cambria Math"/>
            </w:rPr>
            <m:t>×</m:t>
          </m:r>
          <m:f>
            <m:fPr>
              <m:ctrlPr>
                <w:rPr>
                  <w:rFonts w:ascii="Cambria Math" w:hAnsi="Cambria Math"/>
                  <w:i/>
                </w:rPr>
              </m:ctrlPr>
            </m:fPr>
            <m:num>
              <m:r>
                <w:rPr>
                  <w:rFonts w:ascii="Cambria Math" w:hAnsi="Cambria Math"/>
                </w:rPr>
                <m:t>48 tsp</m:t>
              </m:r>
            </m:num>
            <m:den>
              <m:r>
                <w:rPr>
                  <w:rFonts w:ascii="Cambria Math" w:hAnsi="Cambria Math"/>
                </w:rPr>
                <m:t>1 cup</m:t>
              </m:r>
            </m:den>
          </m:f>
          <m:r>
            <w:rPr>
              <w:rFonts w:ascii="Cambria Math" w:hAnsi="Cambria Math"/>
            </w:rPr>
            <m:t>=0.0471 tsp</m:t>
          </m:r>
        </m:oMath>
      </m:oMathPara>
    </w:p>
    <w:p w:rsidR="006B0B61" w:rsidRPr="008A083B" w:rsidRDefault="006B0B61" w:rsidP="006B0B61">
      <w:pPr>
        <w:rPr>
          <w:rFonts w:eastAsiaTheme="minorEastAsia"/>
        </w:rPr>
      </w:pPr>
      <w:r>
        <w:rPr>
          <w:rFonts w:eastAsiaTheme="minorEastAsia"/>
        </w:rPr>
        <w:t xml:space="preserve">Or </w:t>
      </w:r>
    </w:p>
    <w:p w:rsidR="006B0B61" w:rsidRDefault="006B0B61" w:rsidP="006B0B61">
      <m:oMathPara>
        <m:oMath>
          <m:r>
            <w:rPr>
              <w:rFonts w:ascii="Cambria Math" w:hAnsi="Cambria Math"/>
            </w:rPr>
            <w:lastRenderedPageBreak/>
            <m:t>325 mg×</m:t>
          </m:r>
          <m:f>
            <m:fPr>
              <m:ctrlPr>
                <w:rPr>
                  <w:rFonts w:ascii="Cambria Math" w:hAnsi="Cambria Math"/>
                  <w:i/>
                </w:rPr>
              </m:ctrlPr>
            </m:fPr>
            <m:num>
              <m:r>
                <w:rPr>
                  <w:rFonts w:ascii="Cambria Math" w:hAnsi="Cambria Math"/>
                </w:rPr>
                <m:t>1 g</m:t>
              </m:r>
            </m:num>
            <m:den>
              <m:r>
                <w:rPr>
                  <w:rFonts w:ascii="Cambria Math" w:hAnsi="Cambria Math"/>
                </w:rPr>
                <m:t>1000 mg</m:t>
              </m:r>
            </m:den>
          </m:f>
          <m:r>
            <w:rPr>
              <w:rFonts w:ascii="Cambria Math" w:hAnsi="Cambria Math"/>
            </w:rPr>
            <m:t>×</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num>
            <m:den>
              <m:r>
                <w:rPr>
                  <w:rFonts w:ascii="Cambria Math" w:hAnsi="Cambria Math"/>
                </w:rPr>
                <m:t>1.40 g</m:t>
              </m:r>
            </m:den>
          </m:f>
          <m:r>
            <w:rPr>
              <w:rFonts w:ascii="Cambria Math" w:hAnsi="Cambria Math"/>
            </w:rPr>
            <m:t>×</m:t>
          </m:r>
          <m:f>
            <m:fPr>
              <m:ctrlPr>
                <w:rPr>
                  <w:rFonts w:ascii="Cambria Math" w:hAnsi="Cambria Math"/>
                  <w:i/>
                </w:rPr>
              </m:ctrlPr>
            </m:fPr>
            <m:num>
              <m:r>
                <w:rPr>
                  <w:rFonts w:ascii="Cambria Math" w:hAnsi="Cambria Math"/>
                </w:rPr>
                <m:t>1 mL</m:t>
              </m:r>
            </m:num>
            <m:den>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1.057 qt</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4 cups</m:t>
              </m:r>
            </m:num>
            <m:den>
              <m:r>
                <w:rPr>
                  <w:rFonts w:ascii="Cambria Math" w:hAnsi="Cambria Math"/>
                </w:rPr>
                <m:t>1 qt</m:t>
              </m:r>
            </m:den>
          </m:f>
          <m:r>
            <w:rPr>
              <w:rFonts w:ascii="Cambria Math" w:hAnsi="Cambria Math"/>
            </w:rPr>
            <m:t>×</m:t>
          </m:r>
          <m:f>
            <m:fPr>
              <m:ctrlPr>
                <w:rPr>
                  <w:rFonts w:ascii="Cambria Math" w:hAnsi="Cambria Math"/>
                  <w:i/>
                </w:rPr>
              </m:ctrlPr>
            </m:fPr>
            <m:num>
              <m:r>
                <w:rPr>
                  <w:rFonts w:ascii="Cambria Math" w:hAnsi="Cambria Math"/>
                </w:rPr>
                <m:t>48 tsp</m:t>
              </m:r>
            </m:num>
            <m:den>
              <m:r>
                <w:rPr>
                  <w:rFonts w:ascii="Cambria Math" w:hAnsi="Cambria Math"/>
                </w:rPr>
                <m:t>1 cup</m:t>
              </m:r>
            </m:den>
          </m:f>
          <m:r>
            <w:rPr>
              <w:rFonts w:ascii="Cambria Math" w:hAnsi="Cambria Math"/>
            </w:rPr>
            <m:t>=0.0471 tsp</m:t>
          </m:r>
        </m:oMath>
      </m:oMathPara>
    </w:p>
    <w:p w:rsidR="00840B94" w:rsidRDefault="00840B94" w:rsidP="00931EE5">
      <w:pPr>
        <w:ind w:left="360"/>
      </w:pPr>
    </w:p>
    <w:p w:rsidR="007E4EAE" w:rsidRDefault="007E4EAE" w:rsidP="007E4EAE">
      <w:pPr>
        <w:pStyle w:val="ListParagraph"/>
        <w:ind w:left="360"/>
      </w:pPr>
    </w:p>
    <w:p w:rsidR="00146B79" w:rsidRDefault="00146B79" w:rsidP="00C93D86">
      <w:pPr>
        <w:pStyle w:val="ListParagraph"/>
        <w:ind w:left="360"/>
      </w:pP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2B" w:rsidRDefault="003A722B" w:rsidP="00B030FA">
      <w:pPr>
        <w:spacing w:after="0" w:line="240" w:lineRule="auto"/>
      </w:pPr>
      <w:r>
        <w:separator/>
      </w:r>
    </w:p>
  </w:endnote>
  <w:endnote w:type="continuationSeparator" w:id="0">
    <w:p w:rsidR="003A722B" w:rsidRDefault="003A722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2B" w:rsidRDefault="003A722B" w:rsidP="00B030FA">
      <w:pPr>
        <w:spacing w:after="0" w:line="240" w:lineRule="auto"/>
      </w:pPr>
      <w:r>
        <w:separator/>
      </w:r>
    </w:p>
  </w:footnote>
  <w:footnote w:type="continuationSeparator" w:id="0">
    <w:p w:rsidR="003A722B" w:rsidRDefault="003A722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3F7486">
          <w:rPr>
            <w:rFonts w:cs="Times New Roman"/>
            <w:b/>
            <w:bCs/>
            <w:szCs w:val="24"/>
          </w:rPr>
          <w:t xml:space="preserve"> 201</w:t>
        </w:r>
        <w:r w:rsidR="006D4C50">
          <w:rPr>
            <w:rFonts w:cs="Times New Roman"/>
            <w:b/>
            <w:bCs/>
            <w:szCs w:val="24"/>
          </w:rPr>
          <w:t>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D1E45"/>
    <w:rsid w:val="00130D52"/>
    <w:rsid w:val="0014496F"/>
    <w:rsid w:val="00146B79"/>
    <w:rsid w:val="00187315"/>
    <w:rsid w:val="001D155E"/>
    <w:rsid w:val="001D66F6"/>
    <w:rsid w:val="00263FFF"/>
    <w:rsid w:val="00281C91"/>
    <w:rsid w:val="002A06AE"/>
    <w:rsid w:val="002E7C87"/>
    <w:rsid w:val="00313B39"/>
    <w:rsid w:val="00330DFE"/>
    <w:rsid w:val="0035609D"/>
    <w:rsid w:val="003578D1"/>
    <w:rsid w:val="00365921"/>
    <w:rsid w:val="003A722B"/>
    <w:rsid w:val="003B6C78"/>
    <w:rsid w:val="003F0EE3"/>
    <w:rsid w:val="003F7486"/>
    <w:rsid w:val="004366AB"/>
    <w:rsid w:val="00473B5A"/>
    <w:rsid w:val="00475B36"/>
    <w:rsid w:val="004A76B9"/>
    <w:rsid w:val="00524FC2"/>
    <w:rsid w:val="005561A9"/>
    <w:rsid w:val="00565325"/>
    <w:rsid w:val="00580C1C"/>
    <w:rsid w:val="0062160B"/>
    <w:rsid w:val="00636C4C"/>
    <w:rsid w:val="00665928"/>
    <w:rsid w:val="00693F5C"/>
    <w:rsid w:val="006B0B61"/>
    <w:rsid w:val="006D3906"/>
    <w:rsid w:val="006D4C50"/>
    <w:rsid w:val="006F75D5"/>
    <w:rsid w:val="00732F4D"/>
    <w:rsid w:val="00743C35"/>
    <w:rsid w:val="00785BB4"/>
    <w:rsid w:val="007A15E4"/>
    <w:rsid w:val="007C118D"/>
    <w:rsid w:val="007E0792"/>
    <w:rsid w:val="007E26F2"/>
    <w:rsid w:val="007E4EAE"/>
    <w:rsid w:val="00810334"/>
    <w:rsid w:val="00840B94"/>
    <w:rsid w:val="0085441D"/>
    <w:rsid w:val="00863F91"/>
    <w:rsid w:val="008717CF"/>
    <w:rsid w:val="008C0D6C"/>
    <w:rsid w:val="0091410B"/>
    <w:rsid w:val="00925DA8"/>
    <w:rsid w:val="00931EE5"/>
    <w:rsid w:val="009579CE"/>
    <w:rsid w:val="0099445F"/>
    <w:rsid w:val="009A60A4"/>
    <w:rsid w:val="009D0573"/>
    <w:rsid w:val="009D63B0"/>
    <w:rsid w:val="00AA7C3F"/>
    <w:rsid w:val="00B030BC"/>
    <w:rsid w:val="00B030FA"/>
    <w:rsid w:val="00BC5675"/>
    <w:rsid w:val="00C0069A"/>
    <w:rsid w:val="00C873BF"/>
    <w:rsid w:val="00C92B6C"/>
    <w:rsid w:val="00C93D86"/>
    <w:rsid w:val="00CB21A2"/>
    <w:rsid w:val="00CD36B5"/>
    <w:rsid w:val="00CD5B24"/>
    <w:rsid w:val="00D25AE8"/>
    <w:rsid w:val="00D44B98"/>
    <w:rsid w:val="00D9586C"/>
    <w:rsid w:val="00DF210B"/>
    <w:rsid w:val="00E43B95"/>
    <w:rsid w:val="00E7009F"/>
    <w:rsid w:val="00EF484E"/>
    <w:rsid w:val="00F27C23"/>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D8B07-E110-4E71-911E-B6F8066C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84196"/>
    <w:rsid w:val="00497A21"/>
    <w:rsid w:val="00542D3E"/>
    <w:rsid w:val="00605893"/>
    <w:rsid w:val="006F1874"/>
    <w:rsid w:val="00742A6B"/>
    <w:rsid w:val="00743634"/>
    <w:rsid w:val="008104D9"/>
    <w:rsid w:val="00846854"/>
    <w:rsid w:val="008834E9"/>
    <w:rsid w:val="008D4F8B"/>
    <w:rsid w:val="0090672F"/>
    <w:rsid w:val="0095610B"/>
    <w:rsid w:val="009A27A8"/>
    <w:rsid w:val="00A130D8"/>
    <w:rsid w:val="00CE719D"/>
    <w:rsid w:val="00DC7050"/>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497A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6EF-0426-40E6-ACF6-1F57710E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6</cp:revision>
  <dcterms:created xsi:type="dcterms:W3CDTF">2017-02-03T05:36:00Z</dcterms:created>
  <dcterms:modified xsi:type="dcterms:W3CDTF">2017-02-03T21:05:00Z</dcterms:modified>
</cp:coreProperties>
</file>